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E3E" w:rsidRDefault="00527240" w:rsidP="007B1998">
      <w:pPr>
        <w:jc w:val="center"/>
      </w:pPr>
      <w:r>
        <w:t>L'information rapportée comme source d'</w:t>
      </w:r>
      <w:r w:rsidR="00591A13" w:rsidRPr="00591A13">
        <w:t>expressivité</w:t>
      </w:r>
    </w:p>
    <w:p w:rsidR="00786F4F" w:rsidRPr="00591A13" w:rsidRDefault="00786F4F" w:rsidP="007B1998">
      <w:pPr>
        <w:jc w:val="center"/>
      </w:pPr>
      <w:r>
        <w:t>Agnès Celle, Université Paris Cité, ALTAE</w:t>
      </w:r>
    </w:p>
    <w:p w:rsidR="007C7812" w:rsidRDefault="00FC1942" w:rsidP="00252C18">
      <w:r>
        <w:t>Cette communication</w:t>
      </w:r>
      <w:r w:rsidR="007B1998">
        <w:t xml:space="preserve"> </w:t>
      </w:r>
      <w:r w:rsidR="00591A13">
        <w:t xml:space="preserve">s'intéresse à l'articulation entre </w:t>
      </w:r>
      <w:r w:rsidR="00527240">
        <w:t>l'information rapportée</w:t>
      </w:r>
      <w:r w:rsidR="00591A13">
        <w:t xml:space="preserve"> et l'exp</w:t>
      </w:r>
      <w:r w:rsidR="00201C37">
        <w:t>ressivité, en prenant pour obje</w:t>
      </w:r>
      <w:r w:rsidR="00591A13">
        <w:t xml:space="preserve">t d'étude le marqueur discursif </w:t>
      </w:r>
      <w:r w:rsidR="00932A02" w:rsidRPr="007B1998">
        <w:rPr>
          <w:i/>
        </w:rPr>
        <w:t>askip</w:t>
      </w:r>
      <w:r w:rsidR="00932A02">
        <w:t xml:space="preserve">, version tronquée de </w:t>
      </w:r>
      <w:r w:rsidR="007B1998" w:rsidRPr="007B1998">
        <w:rPr>
          <w:i/>
        </w:rPr>
        <w:t>à ce qu’il paraît</w:t>
      </w:r>
      <w:r w:rsidR="007B1998">
        <w:t xml:space="preserve">, </w:t>
      </w:r>
      <w:r w:rsidR="00201C37">
        <w:t>issu</w:t>
      </w:r>
      <w:r w:rsidR="00932A02">
        <w:t xml:space="preserve"> de</w:t>
      </w:r>
      <w:r w:rsidR="007B1998">
        <w:t xml:space="preserve"> la communic</w:t>
      </w:r>
      <w:r w:rsidR="00932A02">
        <w:t>ation médiée par les réseaux</w:t>
      </w:r>
      <w:r w:rsidR="007B1998">
        <w:t xml:space="preserve">. </w:t>
      </w:r>
      <w:r w:rsidR="00252C18" w:rsidRPr="00252C18">
        <w:t>Les constructions</w:t>
      </w:r>
      <w:r w:rsidR="00252C18">
        <w:rPr>
          <w:i/>
        </w:rPr>
        <w:t xml:space="preserve"> </w:t>
      </w:r>
      <w:r w:rsidR="00252C18" w:rsidRPr="00252C18">
        <w:rPr>
          <w:i/>
        </w:rPr>
        <w:t>(il) paraît</w:t>
      </w:r>
      <w:r w:rsidR="00252C18">
        <w:t xml:space="preserve"> et </w:t>
      </w:r>
      <w:r w:rsidR="00252C18" w:rsidRPr="00252C18">
        <w:rPr>
          <w:i/>
        </w:rPr>
        <w:t>askip</w:t>
      </w:r>
      <w:r w:rsidR="00252C18">
        <w:rPr>
          <w:i/>
        </w:rPr>
        <w:t xml:space="preserve"> </w:t>
      </w:r>
      <w:r w:rsidR="00252C18" w:rsidRPr="00252C18">
        <w:t>présentent des similitudes</w:t>
      </w:r>
      <w:r w:rsidR="00252C18">
        <w:rPr>
          <w:i/>
        </w:rPr>
        <w:t xml:space="preserve"> </w:t>
      </w:r>
      <w:r w:rsidR="00252C18" w:rsidRPr="00252C18">
        <w:t xml:space="preserve">dans </w:t>
      </w:r>
      <w:r w:rsidR="008E7E35">
        <w:t>l'emprunt</w:t>
      </w:r>
      <w:r w:rsidR="0039644E">
        <w:t xml:space="preserve">. </w:t>
      </w:r>
      <w:r w:rsidR="005536EE">
        <w:t>Une différence importante</w:t>
      </w:r>
      <w:r w:rsidR="008E7E35">
        <w:t>, toutefois,</w:t>
      </w:r>
      <w:r w:rsidR="005536EE">
        <w:t xml:space="preserve"> tient à leur position. Rossari (2012) fait observer que </w:t>
      </w:r>
      <w:r w:rsidR="005536EE" w:rsidRPr="008C78DA">
        <w:rPr>
          <w:i/>
        </w:rPr>
        <w:t>(il) paraît</w:t>
      </w:r>
      <w:r w:rsidR="005536EE">
        <w:t xml:space="preserve"> est </w:t>
      </w:r>
      <w:r w:rsidR="008C78DA">
        <w:t xml:space="preserve">employé </w:t>
      </w:r>
      <w:r w:rsidR="00EB36F6">
        <w:t>en position détachée à droite</w:t>
      </w:r>
      <w:r w:rsidR="006B7DF5">
        <w:t>.</w:t>
      </w:r>
      <w:r w:rsidR="00AE2803">
        <w:t xml:space="preserve"> </w:t>
      </w:r>
      <w:r w:rsidR="0039644E" w:rsidRPr="0039644E">
        <w:rPr>
          <w:i/>
        </w:rPr>
        <w:t>Askip</w:t>
      </w:r>
      <w:r w:rsidR="0039644E">
        <w:t xml:space="preserve"> </w:t>
      </w:r>
      <w:r w:rsidR="00F22C84">
        <w:t xml:space="preserve">est au contraire </w:t>
      </w:r>
      <w:r w:rsidR="00C9541F">
        <w:t>fréquent en</w:t>
      </w:r>
      <w:r w:rsidR="00F22C84">
        <w:t xml:space="preserve"> </w:t>
      </w:r>
      <w:r w:rsidR="008C78DA">
        <w:t>position détachée à gauche :</w:t>
      </w:r>
    </w:p>
    <w:p w:rsidR="00C2514E" w:rsidRDefault="00C2514E" w:rsidP="006B7DF5">
      <w:pPr>
        <w:pStyle w:val="Paragraphedeliste"/>
        <w:numPr>
          <w:ilvl w:val="0"/>
          <w:numId w:val="3"/>
        </w:numPr>
      </w:pPr>
      <w:r>
        <w:t xml:space="preserve">Askip j’suis moche mais j’suis </w:t>
      </w:r>
      <w:r w:rsidR="0039644E">
        <w:t>dans son tel en favori.</w:t>
      </w:r>
    </w:p>
    <w:p w:rsidR="00A36C66" w:rsidRDefault="00E854B8" w:rsidP="00785CCA">
      <w:r w:rsidRPr="00FA1E22">
        <w:rPr>
          <w:i/>
        </w:rPr>
        <w:t>Askip</w:t>
      </w:r>
      <w:r>
        <w:t xml:space="preserve"> exprime</w:t>
      </w:r>
      <w:r w:rsidR="0039644E">
        <w:t xml:space="preserve"> là</w:t>
      </w:r>
      <w:r w:rsidR="00643995">
        <w:t xml:space="preserve"> </w:t>
      </w:r>
      <w:r w:rsidR="006C4005">
        <w:t xml:space="preserve">une prise de distance </w:t>
      </w:r>
      <w:r w:rsidR="00163C06">
        <w:t>qui peut aller</w:t>
      </w:r>
      <w:r w:rsidR="006C4005">
        <w:t xml:space="preserve"> jusqu’au </w:t>
      </w:r>
      <w:r w:rsidR="00201C37">
        <w:t>rejet de</w:t>
      </w:r>
      <w:r w:rsidR="006C4005">
        <w:t xml:space="preserve"> </w:t>
      </w:r>
      <w:r w:rsidR="00630CA2">
        <w:t>la proposition</w:t>
      </w:r>
      <w:r w:rsidR="006C4005">
        <w:t>.</w:t>
      </w:r>
      <w:r w:rsidR="00F22C84">
        <w:t xml:space="preserve"> </w:t>
      </w:r>
      <w:r w:rsidR="008E7E35">
        <w:t>A partir de données tirées du</w:t>
      </w:r>
      <w:r w:rsidR="00FC1942">
        <w:t xml:space="preserve"> French TenTen 23</w:t>
      </w:r>
      <w:r w:rsidR="008E7E35">
        <w:t xml:space="preserve"> puis annotées, on observe</w:t>
      </w:r>
      <w:r w:rsidR="00F22C84">
        <w:t xml:space="preserve"> que l’emploi </w:t>
      </w:r>
      <w:r w:rsidR="004B5634" w:rsidRPr="004B5634">
        <w:t>de</w:t>
      </w:r>
      <w:r w:rsidR="004B5634">
        <w:rPr>
          <w:i/>
        </w:rPr>
        <w:t xml:space="preserve"> </w:t>
      </w:r>
      <w:r w:rsidR="00F22C84" w:rsidRPr="004B5634">
        <w:rPr>
          <w:i/>
        </w:rPr>
        <w:t>askip</w:t>
      </w:r>
      <w:r w:rsidR="00F22C84">
        <w:t xml:space="preserve"> s’étend à la position m</w:t>
      </w:r>
      <w:r w:rsidR="00C572BD">
        <w:t xml:space="preserve">édiane et à la position finale. </w:t>
      </w:r>
      <w:r w:rsidR="006419FA" w:rsidRPr="006419FA">
        <w:t xml:space="preserve">Toutefois, </w:t>
      </w:r>
      <w:r w:rsidR="006419FA">
        <w:rPr>
          <w:i/>
        </w:rPr>
        <w:t>a</w:t>
      </w:r>
      <w:r w:rsidR="00785CCA" w:rsidRPr="00785CCA">
        <w:rPr>
          <w:i/>
        </w:rPr>
        <w:t>skip</w:t>
      </w:r>
      <w:r w:rsidR="00785CCA">
        <w:t xml:space="preserve"> semble </w:t>
      </w:r>
      <w:r w:rsidR="00591A13">
        <w:t>brouiller la source d'information</w:t>
      </w:r>
      <w:r w:rsidR="00785CCA">
        <w:t xml:space="preserve">. </w:t>
      </w:r>
      <w:r w:rsidR="0039644E">
        <w:t xml:space="preserve">Sur le plan illocutoire, </w:t>
      </w:r>
      <w:r w:rsidR="008376CC" w:rsidRPr="008376CC">
        <w:rPr>
          <w:i/>
        </w:rPr>
        <w:t>askip</w:t>
      </w:r>
      <w:r w:rsidR="008376CC">
        <w:t xml:space="preserve"> oscille entre la confirmation et </w:t>
      </w:r>
      <w:r w:rsidR="00AE2803">
        <w:t>le rejet d’une assertion</w:t>
      </w:r>
      <w:r w:rsidR="008376CC">
        <w:t xml:space="preserve">. </w:t>
      </w:r>
      <w:r w:rsidR="00A36C66">
        <w:t xml:space="preserve">Nous </w:t>
      </w:r>
      <w:r w:rsidR="00201C37">
        <w:t xml:space="preserve">montrerons que </w:t>
      </w:r>
      <w:r w:rsidR="00A36C66" w:rsidRPr="00A36C66">
        <w:rPr>
          <w:i/>
        </w:rPr>
        <w:t>askip</w:t>
      </w:r>
      <w:r w:rsidR="00A36C66">
        <w:t xml:space="preserve"> </w:t>
      </w:r>
      <w:r w:rsidR="0091473C">
        <w:t xml:space="preserve">vise davantage à négocier l’interaction sur le plan intersubjectif </w:t>
      </w:r>
      <w:r w:rsidR="00B101FC">
        <w:t xml:space="preserve">(Hansen &amp; Visconti 2024) </w:t>
      </w:r>
      <w:r w:rsidR="0091473C">
        <w:t>qu’à spécifier la source de l’information.</w:t>
      </w:r>
      <w:r w:rsidR="00B101FC">
        <w:t xml:space="preserve"> Il est généralement porteur d'expressivité.</w:t>
      </w:r>
      <w:r w:rsidR="00201C37">
        <w:t xml:space="preserve"> </w:t>
      </w:r>
      <w:r w:rsidR="00B101FC">
        <w:t xml:space="preserve">En cela, il confirme l'évolution expressive de marqueurs au départ associés à l'emprunt (Zhuang 2025). L'enjeu n'est pas la source d'information, mais plutôt </w:t>
      </w:r>
      <w:r w:rsidR="00B101FC" w:rsidRPr="00B101FC">
        <w:t xml:space="preserve">l’attitude du locuteur </w:t>
      </w:r>
      <w:r w:rsidR="00B101FC">
        <w:t xml:space="preserve">vis-à-vis d'une proposition. La position initiale apparaît comme le lieu par excellence </w:t>
      </w:r>
      <w:r w:rsidR="00D3194D">
        <w:t>du développement de cette fonction métatextuelle</w:t>
      </w:r>
      <w:r w:rsidR="004607E2">
        <w:t xml:space="preserve"> (Traugott 2021)</w:t>
      </w:r>
      <w:r w:rsidR="00527240">
        <w:t>, la marque d'information rapportée</w:t>
      </w:r>
      <w:bookmarkStart w:id="0" w:name="_GoBack"/>
      <w:bookmarkEnd w:id="0"/>
      <w:r w:rsidR="00B101FC" w:rsidRPr="00B101FC">
        <w:t xml:space="preserve"> </w:t>
      </w:r>
      <w:r w:rsidR="00B101FC">
        <w:t xml:space="preserve">y étant </w:t>
      </w:r>
      <w:r w:rsidR="00B101FC" w:rsidRPr="00B101FC">
        <w:t>réinterprété</w:t>
      </w:r>
      <w:r w:rsidR="00B101FC">
        <w:t>e</w:t>
      </w:r>
      <w:r w:rsidR="00B101FC" w:rsidRPr="00B101FC">
        <w:t xml:space="preserve"> co</w:t>
      </w:r>
      <w:r w:rsidR="00B101FC">
        <w:t xml:space="preserve">mme ressource interactionnelle </w:t>
      </w:r>
      <w:r w:rsidR="00B101FC" w:rsidRPr="00B101FC">
        <w:t>support de l’expressivité</w:t>
      </w:r>
      <w:r w:rsidR="00B101FC">
        <w:t>.</w:t>
      </w:r>
    </w:p>
    <w:p w:rsidR="000228F5" w:rsidRDefault="000228F5" w:rsidP="00785CCA"/>
    <w:p w:rsidR="00A36C66" w:rsidRDefault="006D288F" w:rsidP="00F11ECD">
      <w:pPr>
        <w:jc w:val="center"/>
      </w:pPr>
      <w:r>
        <w:t>Sélection de r</w:t>
      </w:r>
      <w:r w:rsidR="007C1493">
        <w:t>éférences :</w:t>
      </w:r>
    </w:p>
    <w:p w:rsidR="0091473C" w:rsidRPr="0091473C" w:rsidRDefault="0091473C" w:rsidP="000228F5">
      <w:pPr>
        <w:spacing w:after="0" w:line="240" w:lineRule="auto"/>
        <w:rPr>
          <w:rFonts w:eastAsia="Times New Roman" w:cstheme="minorHAnsi"/>
          <w:lang w:eastAsia="fr-FR"/>
        </w:rPr>
      </w:pPr>
      <w:r w:rsidRPr="0091473C">
        <w:rPr>
          <w:rFonts w:eastAsia="Times New Roman" w:cstheme="minorHAnsi"/>
          <w:lang w:eastAsia="fr-FR"/>
        </w:rPr>
        <w:t xml:space="preserve">Hansen, Maj-Britt Mosegaard. 2024. “Discourse Markers: What Are They and Where Do They Come From?” </w:t>
      </w:r>
      <w:r w:rsidRPr="00965590">
        <w:rPr>
          <w:rFonts w:eastAsia="Times New Roman" w:cstheme="minorHAnsi"/>
          <w:iCs/>
          <w:lang w:eastAsia="fr-FR"/>
        </w:rPr>
        <w:t>Maj-Britt Mosegaard Hansen &amp; Jacqueline Visconti, Eds.</w:t>
      </w:r>
      <w:r w:rsidRPr="0091473C">
        <w:rPr>
          <w:rFonts w:eastAsia="Times New Roman" w:cstheme="minorHAnsi"/>
          <w:i/>
          <w:iCs/>
          <w:lang w:eastAsia="fr-FR"/>
        </w:rPr>
        <w:t xml:space="preserve"> “Manual of Discourse Markers in Romance”, </w:t>
      </w:r>
      <w:r w:rsidRPr="00965590">
        <w:rPr>
          <w:rFonts w:eastAsia="Times New Roman" w:cstheme="minorHAnsi"/>
          <w:iCs/>
          <w:lang w:eastAsia="fr-FR"/>
        </w:rPr>
        <w:t>Pp. 3-28</w:t>
      </w:r>
      <w:r w:rsidRPr="0091473C">
        <w:rPr>
          <w:rFonts w:eastAsia="Times New Roman" w:cstheme="minorHAnsi"/>
          <w:i/>
          <w:iCs/>
          <w:lang w:eastAsia="fr-FR"/>
        </w:rPr>
        <w:t xml:space="preserve">. (Manuals of Romance Linguistics, </w:t>
      </w:r>
      <w:r w:rsidRPr="00965590">
        <w:rPr>
          <w:rFonts w:eastAsia="Times New Roman" w:cstheme="minorHAnsi"/>
          <w:iCs/>
          <w:lang w:eastAsia="fr-FR"/>
        </w:rPr>
        <w:t>Vol. 37, Berlin: De Gruyter)</w:t>
      </w:r>
      <w:r w:rsidRPr="00965590">
        <w:rPr>
          <w:rFonts w:eastAsia="Times New Roman" w:cstheme="minorHAnsi"/>
          <w:lang w:eastAsia="fr-FR"/>
        </w:rPr>
        <w:t>,</w:t>
      </w:r>
      <w:r w:rsidRPr="0091473C">
        <w:rPr>
          <w:rFonts w:eastAsia="Times New Roman" w:cstheme="minorHAnsi"/>
          <w:lang w:eastAsia="fr-FR"/>
        </w:rPr>
        <w:t xml:space="preserve"> January. </w:t>
      </w:r>
      <w:hyperlink r:id="rId8" w:history="1">
        <w:r w:rsidRPr="00F17953">
          <w:rPr>
            <w:rFonts w:eastAsia="Times New Roman" w:cstheme="minorHAnsi"/>
            <w:color w:val="0000FF"/>
            <w:u w:val="single"/>
            <w:lang w:eastAsia="fr-FR"/>
          </w:rPr>
          <w:t>https://doi.org/10.1515/9783110711202-001</w:t>
        </w:r>
      </w:hyperlink>
      <w:r w:rsidRPr="0091473C">
        <w:rPr>
          <w:rFonts w:eastAsia="Times New Roman" w:cstheme="minorHAnsi"/>
          <w:lang w:eastAsia="fr-FR"/>
        </w:rPr>
        <w:t>.</w:t>
      </w:r>
    </w:p>
    <w:p w:rsidR="005E00C4" w:rsidRPr="005E00C4" w:rsidRDefault="005E00C4" w:rsidP="005E00C4">
      <w:pPr>
        <w:spacing w:after="0" w:line="240" w:lineRule="auto"/>
        <w:rPr>
          <w:rFonts w:eastAsia="Times New Roman" w:cstheme="minorHAnsi"/>
          <w:lang w:eastAsia="fr-FR"/>
        </w:rPr>
      </w:pPr>
      <w:r w:rsidRPr="005E00C4">
        <w:rPr>
          <w:rFonts w:eastAsia="Times New Roman" w:cstheme="minorHAnsi"/>
          <w:lang w:eastAsia="fr-FR"/>
        </w:rPr>
        <w:t xml:space="preserve">Rossari, Corinne. 2012. “Valeur Évidentielle et/Ou Modale de Faut Croire , on Dirait et Paraît.” </w:t>
      </w:r>
      <w:r w:rsidRPr="005E00C4">
        <w:rPr>
          <w:rFonts w:eastAsia="Times New Roman" w:cstheme="minorHAnsi"/>
          <w:i/>
          <w:iCs/>
          <w:lang w:eastAsia="fr-FR"/>
        </w:rPr>
        <w:t>Langue Française</w:t>
      </w:r>
      <w:r w:rsidRPr="005E00C4">
        <w:rPr>
          <w:rFonts w:eastAsia="Times New Roman" w:cstheme="minorHAnsi"/>
          <w:lang w:eastAsia="fr-FR"/>
        </w:rPr>
        <w:t xml:space="preserve"> 173 (March):65. </w:t>
      </w:r>
      <w:hyperlink r:id="rId9" w:history="1">
        <w:r w:rsidRPr="00F17953">
          <w:rPr>
            <w:rFonts w:eastAsia="Times New Roman" w:cstheme="minorHAnsi"/>
            <w:color w:val="0000FF"/>
            <w:u w:val="single"/>
            <w:lang w:eastAsia="fr-FR"/>
          </w:rPr>
          <w:t>https://doi.org/10.3917/lf.173.0065</w:t>
        </w:r>
      </w:hyperlink>
      <w:r w:rsidRPr="005E00C4">
        <w:rPr>
          <w:rFonts w:eastAsia="Times New Roman" w:cstheme="minorHAnsi"/>
          <w:lang w:eastAsia="fr-FR"/>
        </w:rPr>
        <w:t>.</w:t>
      </w:r>
    </w:p>
    <w:p w:rsidR="0091473C" w:rsidRDefault="0091473C" w:rsidP="0091473C">
      <w:pPr>
        <w:spacing w:after="0" w:line="240" w:lineRule="auto"/>
        <w:rPr>
          <w:rFonts w:eastAsia="Times New Roman" w:cstheme="minorHAnsi"/>
          <w:lang w:eastAsia="fr-FR"/>
        </w:rPr>
      </w:pPr>
      <w:r w:rsidRPr="0091473C">
        <w:rPr>
          <w:rFonts w:eastAsia="Times New Roman" w:cstheme="minorHAnsi"/>
          <w:lang w:eastAsia="fr-FR"/>
        </w:rPr>
        <w:t xml:space="preserve">Traugott, Elizabeth. 2021. “A Constructional Perspective on the Rise of Metatextual Discourse Markers.” </w:t>
      </w:r>
      <w:r w:rsidRPr="0091473C">
        <w:rPr>
          <w:rFonts w:eastAsia="Times New Roman" w:cstheme="minorHAnsi"/>
          <w:i/>
          <w:iCs/>
          <w:lang w:eastAsia="fr-FR"/>
        </w:rPr>
        <w:t>Cadernos de Linguística</w:t>
      </w:r>
      <w:r w:rsidRPr="0091473C">
        <w:rPr>
          <w:rFonts w:eastAsia="Times New Roman" w:cstheme="minorHAnsi"/>
          <w:lang w:eastAsia="fr-FR"/>
        </w:rPr>
        <w:t xml:space="preserve"> 2 (January):01–25. </w:t>
      </w:r>
      <w:hyperlink r:id="rId10" w:history="1">
        <w:r w:rsidRPr="00F17953">
          <w:rPr>
            <w:rFonts w:eastAsia="Times New Roman" w:cstheme="minorHAnsi"/>
            <w:color w:val="0000FF"/>
            <w:u w:val="single"/>
            <w:lang w:eastAsia="fr-FR"/>
          </w:rPr>
          <w:t>https://doi.org/10.25189/2675-4916.2021.v2.n1.id269</w:t>
        </w:r>
      </w:hyperlink>
      <w:r w:rsidRPr="0091473C">
        <w:rPr>
          <w:rFonts w:eastAsia="Times New Roman" w:cstheme="minorHAnsi"/>
          <w:lang w:eastAsia="fr-FR"/>
        </w:rPr>
        <w:t>.</w:t>
      </w:r>
    </w:p>
    <w:p w:rsidR="004607E2" w:rsidRPr="004607E2" w:rsidRDefault="004607E2" w:rsidP="004607E2">
      <w:pPr>
        <w:spacing w:after="0" w:line="240" w:lineRule="auto"/>
        <w:rPr>
          <w:rFonts w:eastAsia="Times New Roman" w:cstheme="minorHAnsi"/>
          <w:lang w:eastAsia="fr-FR"/>
        </w:rPr>
      </w:pPr>
      <w:r w:rsidRPr="004607E2">
        <w:rPr>
          <w:rFonts w:eastAsia="Times New Roman" w:cstheme="minorHAnsi"/>
          <w:lang w:eastAsia="fr-FR"/>
        </w:rPr>
        <w:t xml:space="preserve">Zhuang, L. (2025). </w:t>
      </w:r>
      <w:r w:rsidRPr="004607E2">
        <w:rPr>
          <w:rFonts w:eastAsia="Times New Roman" w:cstheme="minorHAnsi"/>
          <w:i/>
          <w:iCs/>
          <w:lang w:eastAsia="fr-FR"/>
        </w:rPr>
        <w:t>How reportatives become emotive expressives</w:t>
      </w:r>
      <w:r w:rsidRPr="004607E2">
        <w:rPr>
          <w:rFonts w:eastAsia="Times New Roman" w:cstheme="minorHAnsi"/>
          <w:lang w:eastAsia="fr-FR"/>
        </w:rPr>
        <w:t>. DGfS 47, Workshop “Expressivity: Variation and Change.”</w:t>
      </w:r>
    </w:p>
    <w:p w:rsidR="004607E2" w:rsidRPr="0091473C" w:rsidRDefault="004607E2" w:rsidP="0091473C">
      <w:pPr>
        <w:spacing w:after="0" w:line="240" w:lineRule="auto"/>
        <w:rPr>
          <w:rFonts w:eastAsia="Times New Roman" w:cstheme="minorHAnsi"/>
          <w:lang w:eastAsia="fr-FR"/>
        </w:rPr>
      </w:pPr>
    </w:p>
    <w:sectPr w:rsidR="004607E2" w:rsidRPr="00914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F46" w:rsidRDefault="00810F46" w:rsidP="008C78DA">
      <w:pPr>
        <w:spacing w:after="0" w:line="240" w:lineRule="auto"/>
      </w:pPr>
      <w:r>
        <w:separator/>
      </w:r>
    </w:p>
  </w:endnote>
  <w:endnote w:type="continuationSeparator" w:id="0">
    <w:p w:rsidR="00810F46" w:rsidRDefault="00810F46" w:rsidP="008C7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F46" w:rsidRDefault="00810F46" w:rsidP="008C78DA">
      <w:pPr>
        <w:spacing w:after="0" w:line="240" w:lineRule="auto"/>
      </w:pPr>
      <w:r>
        <w:separator/>
      </w:r>
    </w:p>
  </w:footnote>
  <w:footnote w:type="continuationSeparator" w:id="0">
    <w:p w:rsidR="00810F46" w:rsidRDefault="00810F46" w:rsidP="008C78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47E30"/>
    <w:multiLevelType w:val="hybridMultilevel"/>
    <w:tmpl w:val="09CAD3B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32246"/>
    <w:multiLevelType w:val="hybridMultilevel"/>
    <w:tmpl w:val="A956E5A0"/>
    <w:lvl w:ilvl="0" w:tplc="EDF0A3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93014"/>
    <w:multiLevelType w:val="hybridMultilevel"/>
    <w:tmpl w:val="68BAFD3C"/>
    <w:lvl w:ilvl="0" w:tplc="2B1E71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B92"/>
    <w:rsid w:val="000228F5"/>
    <w:rsid w:val="00053B25"/>
    <w:rsid w:val="000A6B4B"/>
    <w:rsid w:val="000E7B92"/>
    <w:rsid w:val="000F4FE3"/>
    <w:rsid w:val="001335F1"/>
    <w:rsid w:val="00163C06"/>
    <w:rsid w:val="00193DB0"/>
    <w:rsid w:val="00194C2C"/>
    <w:rsid w:val="001A7942"/>
    <w:rsid w:val="00201C37"/>
    <w:rsid w:val="002514F9"/>
    <w:rsid w:val="00252C18"/>
    <w:rsid w:val="00270558"/>
    <w:rsid w:val="00277C72"/>
    <w:rsid w:val="002814B6"/>
    <w:rsid w:val="0039644E"/>
    <w:rsid w:val="003C2C0E"/>
    <w:rsid w:val="003D5305"/>
    <w:rsid w:val="003E1A80"/>
    <w:rsid w:val="004107F6"/>
    <w:rsid w:val="004607E2"/>
    <w:rsid w:val="00465AB3"/>
    <w:rsid w:val="004848F4"/>
    <w:rsid w:val="004B5634"/>
    <w:rsid w:val="00527240"/>
    <w:rsid w:val="005536EE"/>
    <w:rsid w:val="00591A13"/>
    <w:rsid w:val="005D0858"/>
    <w:rsid w:val="005E00C4"/>
    <w:rsid w:val="00624C02"/>
    <w:rsid w:val="00630CA2"/>
    <w:rsid w:val="006419FA"/>
    <w:rsid w:val="00643995"/>
    <w:rsid w:val="00670416"/>
    <w:rsid w:val="006B7DF5"/>
    <w:rsid w:val="006C4005"/>
    <w:rsid w:val="006D288F"/>
    <w:rsid w:val="00773F3D"/>
    <w:rsid w:val="00785CCA"/>
    <w:rsid w:val="00786F4F"/>
    <w:rsid w:val="007A2FA7"/>
    <w:rsid w:val="007B1998"/>
    <w:rsid w:val="007B21B3"/>
    <w:rsid w:val="007C1493"/>
    <w:rsid w:val="007C7812"/>
    <w:rsid w:val="007D5E3E"/>
    <w:rsid w:val="00810F46"/>
    <w:rsid w:val="008142DD"/>
    <w:rsid w:val="008376CC"/>
    <w:rsid w:val="008724EE"/>
    <w:rsid w:val="00872835"/>
    <w:rsid w:val="008C78DA"/>
    <w:rsid w:val="008E7E35"/>
    <w:rsid w:val="0091473C"/>
    <w:rsid w:val="00920340"/>
    <w:rsid w:val="00932A02"/>
    <w:rsid w:val="0095429D"/>
    <w:rsid w:val="00965590"/>
    <w:rsid w:val="00975B53"/>
    <w:rsid w:val="009D3A08"/>
    <w:rsid w:val="00A36C66"/>
    <w:rsid w:val="00AE2803"/>
    <w:rsid w:val="00B101FC"/>
    <w:rsid w:val="00B32EE0"/>
    <w:rsid w:val="00B876E3"/>
    <w:rsid w:val="00BF0A48"/>
    <w:rsid w:val="00C2514E"/>
    <w:rsid w:val="00C522C4"/>
    <w:rsid w:val="00C556B2"/>
    <w:rsid w:val="00C572BD"/>
    <w:rsid w:val="00C9541F"/>
    <w:rsid w:val="00CD0462"/>
    <w:rsid w:val="00CD1807"/>
    <w:rsid w:val="00D3194D"/>
    <w:rsid w:val="00D34C1F"/>
    <w:rsid w:val="00D95C28"/>
    <w:rsid w:val="00DA559D"/>
    <w:rsid w:val="00DE24E9"/>
    <w:rsid w:val="00E0022B"/>
    <w:rsid w:val="00E41134"/>
    <w:rsid w:val="00E854B8"/>
    <w:rsid w:val="00EB36F6"/>
    <w:rsid w:val="00F11ECD"/>
    <w:rsid w:val="00F17953"/>
    <w:rsid w:val="00F22C84"/>
    <w:rsid w:val="00FA1E22"/>
    <w:rsid w:val="00FA5E5B"/>
    <w:rsid w:val="00FA6103"/>
    <w:rsid w:val="00FC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CDC08"/>
  <w15:chartTrackingRefBased/>
  <w15:docId w15:val="{D8125E3C-C1A0-4E8E-9202-6F7C8CEA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7812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C78D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C78D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C78DA"/>
    <w:rPr>
      <w:vertAlign w:val="superscript"/>
    </w:rPr>
  </w:style>
  <w:style w:type="character" w:styleId="Lienhypertexte">
    <w:name w:val="Hyperlink"/>
    <w:basedOn w:val="Policepardfaut"/>
    <w:uiPriority w:val="99"/>
    <w:semiHidden/>
    <w:unhideWhenUsed/>
    <w:rsid w:val="005E00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2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7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9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2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3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6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15/9783110711202-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25189/2675-4916.2021.v2.n1.id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917/lf.173.006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0E3EB-D878-4B08-B7AC-8112524D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Celle</dc:creator>
  <cp:keywords/>
  <dc:description/>
  <cp:lastModifiedBy>Agnes Celle</cp:lastModifiedBy>
  <cp:revision>12</cp:revision>
  <dcterms:created xsi:type="dcterms:W3CDTF">2026-07-16T07:48:00Z</dcterms:created>
  <dcterms:modified xsi:type="dcterms:W3CDTF">2026-07-16T13:44:00Z</dcterms:modified>
</cp:coreProperties>
</file>