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131CF" w14:textId="72D314E3" w:rsidR="00194622" w:rsidRPr="00B9011F" w:rsidRDefault="00CA33CF">
      <w:pPr>
        <w:rPr>
          <w:rFonts w:ascii="Times New Roman" w:hAnsi="Times New Roman" w:cs="Times New Roman"/>
          <w:b/>
          <w:bCs/>
          <w:sz w:val="24"/>
          <w:szCs w:val="24"/>
          <w:u w:val="single"/>
        </w:rPr>
      </w:pPr>
      <w:bookmarkStart w:id="0" w:name="_GoBack"/>
      <w:bookmarkEnd w:id="0"/>
      <w:r>
        <w:rPr>
          <w:rFonts w:ascii="Times New Roman" w:hAnsi="Times New Roman" w:cs="Times New Roman"/>
          <w:b/>
          <w:bCs/>
          <w:sz w:val="24"/>
          <w:szCs w:val="24"/>
          <w:u w:val="single"/>
        </w:rPr>
        <w:t xml:space="preserve">Mirative </w:t>
      </w:r>
      <w:r>
        <w:rPr>
          <w:rFonts w:ascii="Times New Roman" w:hAnsi="Times New Roman" w:cs="Times New Roman"/>
          <w:b/>
          <w:bCs/>
          <w:i/>
          <w:iCs/>
          <w:sz w:val="24"/>
          <w:szCs w:val="24"/>
          <w:u w:val="single"/>
        </w:rPr>
        <w:t>t</w:t>
      </w:r>
      <w:r w:rsidR="00E816BE" w:rsidRPr="00B9011F">
        <w:rPr>
          <w:rFonts w:ascii="Times New Roman" w:hAnsi="Times New Roman" w:cs="Times New Roman"/>
          <w:b/>
          <w:bCs/>
          <w:i/>
          <w:iCs/>
          <w:sz w:val="24"/>
          <w:szCs w:val="24"/>
          <w:u w:val="single"/>
        </w:rPr>
        <w:t>urn out</w:t>
      </w:r>
      <w:r w:rsidR="00E816BE" w:rsidRPr="00B9011F">
        <w:rPr>
          <w:rFonts w:ascii="Times New Roman" w:hAnsi="Times New Roman" w:cs="Times New Roman"/>
          <w:b/>
          <w:bCs/>
          <w:sz w:val="24"/>
          <w:szCs w:val="24"/>
          <w:u w:val="single"/>
        </w:rPr>
        <w:t xml:space="preserve"> as a verb marking truth revelation: a comparison between two </w:t>
      </w:r>
      <w:r w:rsidR="004D5D62">
        <w:rPr>
          <w:rFonts w:ascii="Times New Roman" w:hAnsi="Times New Roman" w:cs="Times New Roman"/>
          <w:b/>
          <w:bCs/>
          <w:sz w:val="24"/>
          <w:szCs w:val="24"/>
          <w:u w:val="single"/>
        </w:rPr>
        <w:t>constructions</w:t>
      </w:r>
    </w:p>
    <w:p w14:paraId="11296E4C" w14:textId="2A33DCEE" w:rsidR="00E816BE" w:rsidRPr="00B9011F" w:rsidRDefault="00E816BE">
      <w:pPr>
        <w:rPr>
          <w:rFonts w:ascii="Times New Roman" w:hAnsi="Times New Roman" w:cs="Times New Roman"/>
          <w:u w:val="single"/>
        </w:rPr>
      </w:pPr>
      <w:r w:rsidRPr="00B9011F">
        <w:rPr>
          <w:rFonts w:ascii="Times New Roman" w:hAnsi="Times New Roman" w:cs="Times New Roman"/>
          <w:u w:val="single"/>
        </w:rPr>
        <w:t>Abstract:</w:t>
      </w:r>
    </w:p>
    <w:p w14:paraId="2EC31AFA" w14:textId="69571013" w:rsidR="00B23D47" w:rsidRPr="00B9011F" w:rsidRDefault="00E816BE" w:rsidP="00A46F54">
      <w:pPr>
        <w:jc w:val="both"/>
        <w:rPr>
          <w:rFonts w:ascii="Times New Roman" w:hAnsi="Times New Roman" w:cs="Times New Roman"/>
        </w:rPr>
      </w:pPr>
      <w:r w:rsidRPr="00B9011F">
        <w:rPr>
          <w:rFonts w:ascii="Times New Roman" w:hAnsi="Times New Roman" w:cs="Times New Roman"/>
        </w:rPr>
        <w:tab/>
        <w:t xml:space="preserve">This presentation displays the results of a comparative study between two syntactic structures containing the phrasal verb </w:t>
      </w:r>
      <w:r w:rsidRPr="00B9011F">
        <w:rPr>
          <w:rFonts w:ascii="Times New Roman" w:hAnsi="Times New Roman" w:cs="Times New Roman"/>
          <w:i/>
          <w:iCs/>
        </w:rPr>
        <w:t>turn out</w:t>
      </w:r>
      <w:r w:rsidRPr="00B9011F">
        <w:rPr>
          <w:rFonts w:ascii="Times New Roman" w:hAnsi="Times New Roman" w:cs="Times New Roman"/>
        </w:rPr>
        <w:t xml:space="preserve">, </w:t>
      </w:r>
      <w:r w:rsidR="00FE189A" w:rsidRPr="00B9011F">
        <w:rPr>
          <w:rFonts w:ascii="Times New Roman" w:hAnsi="Times New Roman" w:cs="Times New Roman"/>
        </w:rPr>
        <w:t>alongside with</w:t>
      </w:r>
      <w:r w:rsidRPr="00B9011F">
        <w:rPr>
          <w:rFonts w:ascii="Times New Roman" w:hAnsi="Times New Roman" w:cs="Times New Roman"/>
        </w:rPr>
        <w:t xml:space="preserve"> an additional verb</w:t>
      </w:r>
      <w:r w:rsidR="009A0E65" w:rsidRPr="00B9011F">
        <w:rPr>
          <w:rFonts w:ascii="Times New Roman" w:hAnsi="Times New Roman" w:cs="Times New Roman"/>
        </w:rPr>
        <w:t xml:space="preserve">: </w:t>
      </w:r>
      <w:r w:rsidR="009A0E65" w:rsidRPr="00B9011F">
        <w:rPr>
          <w:rFonts w:ascii="Times New Roman" w:hAnsi="Times New Roman" w:cs="Times New Roman"/>
          <w:i/>
          <w:iCs/>
        </w:rPr>
        <w:t>prove</w:t>
      </w:r>
      <w:r w:rsidR="009A0E65" w:rsidRPr="00B9011F">
        <w:rPr>
          <w:rFonts w:ascii="Times New Roman" w:hAnsi="Times New Roman" w:cs="Times New Roman"/>
        </w:rPr>
        <w:t xml:space="preserve">. </w:t>
      </w:r>
      <w:r w:rsidRPr="00B9011F">
        <w:rPr>
          <w:rFonts w:ascii="Times New Roman" w:hAnsi="Times New Roman" w:cs="Times New Roman"/>
        </w:rPr>
        <w:t xml:space="preserve">The structures under scrutiny are </w:t>
      </w:r>
      <w:r w:rsidR="002C16C7" w:rsidRPr="00B9011F">
        <w:rPr>
          <w:rFonts w:ascii="Times New Roman" w:hAnsi="Times New Roman" w:cs="Times New Roman"/>
        </w:rPr>
        <w:t xml:space="preserve">the </w:t>
      </w:r>
      <w:r w:rsidRPr="00B9011F">
        <w:rPr>
          <w:rFonts w:ascii="Times New Roman" w:hAnsi="Times New Roman" w:cs="Times New Roman"/>
        </w:rPr>
        <w:t>raising construction and the extraposed impersonal construction</w:t>
      </w:r>
      <w:r w:rsidR="002C16C7" w:rsidRPr="00B9011F">
        <w:rPr>
          <w:rFonts w:ascii="Times New Roman" w:hAnsi="Times New Roman" w:cs="Times New Roman"/>
        </w:rPr>
        <w:t xml:space="preserve">. </w:t>
      </w:r>
      <w:r w:rsidRPr="00B9011F">
        <w:rPr>
          <w:rFonts w:ascii="Times New Roman" w:hAnsi="Times New Roman" w:cs="Times New Roman"/>
        </w:rPr>
        <w:t xml:space="preserve">The </w:t>
      </w:r>
      <w:r w:rsidR="00461B95" w:rsidRPr="00B9011F">
        <w:rPr>
          <w:rFonts w:ascii="Times New Roman" w:hAnsi="Times New Roman" w:cs="Times New Roman"/>
        </w:rPr>
        <w:t xml:space="preserve">verb </w:t>
      </w:r>
      <w:r w:rsidRPr="00B9011F">
        <w:rPr>
          <w:rFonts w:ascii="Times New Roman" w:hAnsi="Times New Roman" w:cs="Times New Roman"/>
          <w:i/>
          <w:iCs/>
        </w:rPr>
        <w:t>prove</w:t>
      </w:r>
      <w:r w:rsidRPr="00B9011F">
        <w:rPr>
          <w:rFonts w:ascii="Times New Roman" w:hAnsi="Times New Roman" w:cs="Times New Roman"/>
        </w:rPr>
        <w:t xml:space="preserve"> </w:t>
      </w:r>
      <w:r w:rsidR="00461B95" w:rsidRPr="00B9011F">
        <w:rPr>
          <w:rFonts w:ascii="Times New Roman" w:hAnsi="Times New Roman" w:cs="Times New Roman"/>
        </w:rPr>
        <w:t xml:space="preserve">was selected because </w:t>
      </w:r>
      <w:r w:rsidR="00FE189A" w:rsidRPr="00B9011F">
        <w:rPr>
          <w:rFonts w:ascii="Times New Roman" w:hAnsi="Times New Roman" w:cs="Times New Roman"/>
        </w:rPr>
        <w:t>it has the particularity of being</w:t>
      </w:r>
      <w:r w:rsidR="002C16C7" w:rsidRPr="00B9011F">
        <w:rPr>
          <w:rFonts w:ascii="Times New Roman" w:hAnsi="Times New Roman" w:cs="Times New Roman"/>
        </w:rPr>
        <w:t xml:space="preserve"> attested</w:t>
      </w:r>
      <w:r w:rsidRPr="00B9011F">
        <w:rPr>
          <w:rFonts w:ascii="Times New Roman" w:hAnsi="Times New Roman" w:cs="Times New Roman"/>
        </w:rPr>
        <w:t xml:space="preserve"> i</w:t>
      </w:r>
      <w:r w:rsidR="002C16C7" w:rsidRPr="00B9011F">
        <w:rPr>
          <w:rFonts w:ascii="Times New Roman" w:hAnsi="Times New Roman" w:cs="Times New Roman"/>
        </w:rPr>
        <w:t>n</w:t>
      </w:r>
      <w:r w:rsidRPr="00B9011F">
        <w:rPr>
          <w:rFonts w:ascii="Times New Roman" w:hAnsi="Times New Roman" w:cs="Times New Roman"/>
        </w:rPr>
        <w:t xml:space="preserve"> the raising construction</w:t>
      </w:r>
      <w:r w:rsidR="006039E3">
        <w:rPr>
          <w:rFonts w:ascii="Times New Roman" w:hAnsi="Times New Roman" w:cs="Times New Roman"/>
        </w:rPr>
        <w:t xml:space="preserve"> only</w:t>
      </w:r>
      <w:r w:rsidRPr="00B9011F">
        <w:rPr>
          <w:rFonts w:ascii="Times New Roman" w:hAnsi="Times New Roman" w:cs="Times New Roman"/>
        </w:rPr>
        <w:t>.  The</w:t>
      </w:r>
      <w:r w:rsidR="002C16C7" w:rsidRPr="00B9011F">
        <w:rPr>
          <w:rFonts w:ascii="Times New Roman" w:hAnsi="Times New Roman" w:cs="Times New Roman"/>
        </w:rPr>
        <w:t xml:space="preserve"> counterpart structures may be considered </w:t>
      </w:r>
      <w:r w:rsidRPr="00B9011F">
        <w:rPr>
          <w:rFonts w:ascii="Times New Roman" w:hAnsi="Times New Roman" w:cs="Times New Roman"/>
        </w:rPr>
        <w:t xml:space="preserve">members of an alternation </w:t>
      </w:r>
      <w:r w:rsidR="00181BB1" w:rsidRPr="00B9011F">
        <w:rPr>
          <w:rFonts w:ascii="Times New Roman" w:hAnsi="Times New Roman" w:cs="Times New Roman"/>
        </w:rPr>
        <w:fldChar w:fldCharType="begin"/>
      </w:r>
      <w:r w:rsidR="00181BB1" w:rsidRPr="00B9011F">
        <w:rPr>
          <w:rFonts w:ascii="Times New Roman" w:hAnsi="Times New Roman" w:cs="Times New Roman"/>
        </w:rPr>
        <w:instrText xml:space="preserve"> ADDIN ZOTERO_ITEM CSL_CITATION {"citationID":"zDW2Sbp9","properties":{"unsorted":false,"formattedCitation":"(Pijpops et al., 2024)","plainCitation":"(Pijpops et al., 2024)","noteIndex":0},"citationItems":[{"id":177,"uris":["http://zotero.org/users/18270926/items/4DSJJV9Q"],"itemData":{"id":177,"type":"article-journal","abstract":"The research paradigm of alternation studies is forming an increasingly large share of the empirical foundations of usage-based linguistics. As the paradigm is essentially an amalgamation of research traditions from various subﬁelds of linguistics, including sociolinguistics, psycholinguistics, cognitive linguistics, and construction grammar, it sports various deﬁnitions of the concept of “alternation” and various ways of conducting an alternation study, which are not always compatible. The present special issue is therefore intended to bring researchers from various backgrounds in usage-based linguistics together to see how we can deal with these issues. This introduction ﬁrst presents the various ways of deﬁning an alternation and discusses the diﬀerences between them and how these deﬁnitions determine the methodological set-up of an alternation study. Next, the contributions to the special issue are each in turn summarized and related to one another.","container-title":"Linguistics Vanguard","DOI":"10.1515/lingvan-2023-0165","ISSN":"2199-174X","issue":"s1","language":"en","page":"1-7","source":"DOI.org (Crossref)","title":"Introduction: what are alternations and how should we study them?","title-short":"Introduction","volume":"10","author":[{"family":"Pijpops","given":"Dirk"},{"family":"Franco","given":"Karlien"},{"family":"Speelman","given":"Dirk"},{"family":"Van De Velde","given":"Freek"}],"issued":{"date-parts":[["2024",5,31]]}}}],"schema":"https://github.com/citation-style-language/schema/raw/master/csl-citation.json"} </w:instrText>
      </w:r>
      <w:r w:rsidR="00181BB1" w:rsidRPr="00B9011F">
        <w:rPr>
          <w:rFonts w:ascii="Times New Roman" w:hAnsi="Times New Roman" w:cs="Times New Roman"/>
        </w:rPr>
        <w:fldChar w:fldCharType="separate"/>
      </w:r>
      <w:r w:rsidR="00181BB1" w:rsidRPr="00B9011F">
        <w:rPr>
          <w:rFonts w:ascii="Times New Roman" w:hAnsi="Times New Roman" w:cs="Times New Roman"/>
        </w:rPr>
        <w:t>(Pijpops et al., 2024)</w:t>
      </w:r>
      <w:r w:rsidR="00181BB1" w:rsidRPr="00B9011F">
        <w:rPr>
          <w:rFonts w:ascii="Times New Roman" w:hAnsi="Times New Roman" w:cs="Times New Roman"/>
        </w:rPr>
        <w:fldChar w:fldCharType="end"/>
      </w:r>
      <w:r w:rsidR="00B23D47" w:rsidRPr="00B9011F">
        <w:rPr>
          <w:rFonts w:ascii="Times New Roman" w:hAnsi="Times New Roman" w:cs="Times New Roman"/>
        </w:rPr>
        <w:t>, therefore conveying the same meaning, but some studies have attempted to identify their differences on several linguistic levels, including semantics</w:t>
      </w:r>
      <w:r w:rsidR="002C16C7" w:rsidRPr="00B9011F">
        <w:rPr>
          <w:rFonts w:ascii="Times New Roman" w:hAnsi="Times New Roman" w:cs="Times New Roman"/>
        </w:rPr>
        <w:t xml:space="preserve">, </w:t>
      </w:r>
      <w:r w:rsidR="00B23D47" w:rsidRPr="00B9011F">
        <w:rPr>
          <w:rFonts w:ascii="Times New Roman" w:hAnsi="Times New Roman" w:cs="Times New Roman"/>
        </w:rPr>
        <w:t>discourse and pragmatics</w:t>
      </w:r>
      <w:r w:rsidR="003263DC" w:rsidRPr="00B9011F">
        <w:rPr>
          <w:rFonts w:ascii="Times New Roman" w:hAnsi="Times New Roman" w:cs="Times New Roman"/>
        </w:rPr>
        <w:t xml:space="preserve"> </w:t>
      </w:r>
      <w:r w:rsidR="003263DC" w:rsidRPr="00B9011F">
        <w:rPr>
          <w:rFonts w:ascii="Times New Roman" w:hAnsi="Times New Roman" w:cs="Times New Roman"/>
        </w:rPr>
        <w:fldChar w:fldCharType="begin"/>
      </w:r>
      <w:r w:rsidR="003263DC" w:rsidRPr="00B9011F">
        <w:rPr>
          <w:rFonts w:ascii="Times New Roman" w:hAnsi="Times New Roman" w:cs="Times New Roman"/>
        </w:rPr>
        <w:instrText xml:space="preserve"> ADDIN ZOTERO_ITEM CSL_CITATION {"citationID":"Q3W0tQJm","properties":{"unsorted":false,"formattedCitation":"(Grimm, 2010; Mair, 1990; No\\uc0\\u235{}l, 1997)","plainCitation":"(Grimm, 2010; Mair, 1990; Noël, 1997)","noteIndex":0},"citationItems":[{"id":199,"uris":["http://zotero.org/users/18270926/items/5PF3U5SE"],"itemData":{"id":199,"type":"article-journal","container-title":"ZAS Papers in Linguistics","DOI":"10.21248/zaspil.52.2010.384","ISSN":"1435-9588","language":"en","license":"Copyright (c)","page":"83-109","source":"zaspil.leibniz-zas.de","title":"An empirical view on raising to subject","volume":"52","author":[{"family":"Grimm","given":"Scott"}],"issued":{"date-parts":[["2010",1,1]]}}},{"id":109,"uris":["http://zotero.org/users/18270926/items/APYQMVHC"],"itemData":{"id":109,"type":"book","call-number":"802'367 MAI","collection-title":"Studies in English language","ISBN":"978-0-521-37035-6","language":"eng","number-of-pages":"264","publisher":"Cambridge university press","publisher-place":"Cambridge [etc","source":"uspc-upde.primo.exlibrisgroup.com","title":"Infinitival complement clauses in English: a study of syntax in discourse","title-short":"Infinitival complement clauses in English","author":[{"family":"Mair","given":"Christian"}],"issued":{"date-parts":[["1990"]]}}},{"id":53,"uris":["http://zotero.org/users/18270926/items/BKGRWFXR"],"itemData":{"id":53,"type":"article-journal","abstract":"Intuitive, sentence-based approaches have so far failed to account conclusively for the choice between a\nthat\n-complement and an infinitival complement after\nbelieve\n-type verbs, in sentences like\nI believe something like this to be very much the case\n(EB2 1297) and\nI believe that monetary union is political union, and that the creation of a single currency is federalism\n(HHW 13012). Syntactically, there is no free variation between the two patterns, since there are a number of formal restrictions on the infinitival complements that do not apply to the\nthat\n-complements. But is there a semantic motivation behind the choice in cases when there are no formal reasons for choosing one or the other? This paper surveys a few earlier suggestions to this effect, but argues that a corpus-based approach unmistakably suggests that factors of a textual nature are at work, rather than purely semantic ones.\n2","container-title":"English language and linguistics","DOI":"10.1017/S1360674300000538","ISSN":"1360-6743","issue":"2","language":"eng","note":"publisher-place: Cambridge, UK","page":"271–284","publisher":"Cambridge University Press","source":"uspc-upde.primo.exlibrisgroup.com","title":"The choice between infinitives and that-clauses after believe","volume":"1","author":[{"family":"Noël","given":"Dirk"}],"issued":{"date-parts":[["1997"]]}}}],"schema":"https://github.com/citation-style-language/schema/raw/master/csl-citation.json"} </w:instrText>
      </w:r>
      <w:r w:rsidR="003263DC" w:rsidRPr="00B9011F">
        <w:rPr>
          <w:rFonts w:ascii="Times New Roman" w:hAnsi="Times New Roman" w:cs="Times New Roman"/>
        </w:rPr>
        <w:fldChar w:fldCharType="separate"/>
      </w:r>
      <w:r w:rsidR="003263DC" w:rsidRPr="00B9011F">
        <w:rPr>
          <w:rFonts w:ascii="Times New Roman" w:hAnsi="Times New Roman" w:cs="Times New Roman"/>
          <w:kern w:val="0"/>
        </w:rPr>
        <w:t>(Grimm, 2010; Mair, 1990; Noël, 1997)</w:t>
      </w:r>
      <w:r w:rsidR="003263DC" w:rsidRPr="00B9011F">
        <w:rPr>
          <w:rFonts w:ascii="Times New Roman" w:hAnsi="Times New Roman" w:cs="Times New Roman"/>
        </w:rPr>
        <w:fldChar w:fldCharType="end"/>
      </w:r>
      <w:r w:rsidR="00B23D47" w:rsidRPr="00B9011F">
        <w:rPr>
          <w:rFonts w:ascii="Times New Roman" w:hAnsi="Times New Roman" w:cs="Times New Roman"/>
        </w:rPr>
        <w:t>.</w:t>
      </w:r>
      <w:r w:rsidR="003263DC" w:rsidRPr="00B9011F">
        <w:rPr>
          <w:rFonts w:ascii="Times New Roman" w:hAnsi="Times New Roman" w:cs="Times New Roman"/>
        </w:rPr>
        <w:t xml:space="preserve"> </w:t>
      </w:r>
      <w:r w:rsidR="00B23D47" w:rsidRPr="00B9011F">
        <w:rPr>
          <w:rFonts w:ascii="Times New Roman" w:hAnsi="Times New Roman" w:cs="Times New Roman"/>
          <w:i/>
          <w:iCs/>
        </w:rPr>
        <w:t>Turn out</w:t>
      </w:r>
      <w:r w:rsidR="00B23D47" w:rsidRPr="00B9011F">
        <w:rPr>
          <w:rFonts w:ascii="Times New Roman" w:hAnsi="Times New Roman" w:cs="Times New Roman"/>
        </w:rPr>
        <w:t xml:space="preserve"> and </w:t>
      </w:r>
      <w:r w:rsidR="00B23D47" w:rsidRPr="00B9011F">
        <w:rPr>
          <w:rFonts w:ascii="Times New Roman" w:hAnsi="Times New Roman" w:cs="Times New Roman"/>
          <w:i/>
          <w:iCs/>
        </w:rPr>
        <w:t>prove</w:t>
      </w:r>
      <w:r w:rsidR="00B23D47" w:rsidRPr="00B9011F">
        <w:rPr>
          <w:rFonts w:ascii="Times New Roman" w:hAnsi="Times New Roman" w:cs="Times New Roman"/>
        </w:rPr>
        <w:t xml:space="preserve"> are labelled as Evidential and Mirative Raising Verbs by</w:t>
      </w:r>
      <w:r w:rsidR="003263DC" w:rsidRPr="00B9011F">
        <w:rPr>
          <w:rFonts w:ascii="Times New Roman" w:hAnsi="Times New Roman" w:cs="Times New Roman"/>
        </w:rPr>
        <w:t xml:space="preserve"> </w:t>
      </w:r>
      <w:r w:rsidR="003263DC" w:rsidRPr="00B9011F">
        <w:rPr>
          <w:rFonts w:ascii="Times New Roman" w:hAnsi="Times New Roman" w:cs="Times New Roman"/>
        </w:rPr>
        <w:fldChar w:fldCharType="begin"/>
      </w:r>
      <w:r w:rsidR="00FE189A" w:rsidRPr="00B9011F">
        <w:rPr>
          <w:rFonts w:ascii="Times New Roman" w:hAnsi="Times New Roman" w:cs="Times New Roman"/>
        </w:rPr>
        <w:instrText xml:space="preserve"> ADDIN ZOTERO_ITEM CSL_CITATION {"citationID":"qePtDwSK","properties":{"unsorted":false,"formattedCitation":"(Serrano-Losada, 2017, 2020)","plainCitation":"(Serrano-Losada, 2017, 2020)","dontUpdate":true,"noteIndex":0},"citationItems":[{"id":25,"uris":["http://zotero.org/users/18270926/items/Z9GTB3SL"],"itemData":{"id":25,"type":"article-journal","abstract":"Present-day English turn out is used in several constructions with mirative and evidential overtones. Among these, the raised subject construction and the impersonal construction stand out. The current paper provides a diachronic account of the changes that led to the emergence of these constructions. It examines the semantic and syntactic configuration of turn out and the mechanisms whereby this verb developed evidential and mirative readings during the Late Modern English period. The record shows that turn out developed abruptly from a full lexical (predominantly resultative and change-of-state) control verb into a raising verb in the course of the eighteenth century. This change was triggered by a process of semantic generalization and subjectification whereby the verb acquired evidential and, most notably, mirative nuances. Analogy seems to have played an important role as well, since the evidence suggests that other constructions somewhat similar in form (syntactic structural usage) and meaning facilitated this process. The bulk of the data examined in this study were drawn from the Oxford English Dictionary and the Corpus of Late Modern English Texts, version 3.0.","container-title":"Review of Cognitive Linguistics","DOI":"10.1075/rcl.15.2.05ser","ISSN":"1877-9751, 1877-976X","issue":"2","journalAbbreviation":"RCL","language":"en","page":"411-437","source":"DOI.org (Crossref)","title":"Raising &lt;i&gt;turn out&lt;/i&gt; in Late Modern English: The rise of a mirative predicate","title-short":"Raising &lt;i&gt;turn out&lt;/i&gt; in Late Modern English","volume":"15","author":[{"family":"Serrano-Losada","given":"Mario"}],"issued":{"date-parts":[["2017",12,8]]}}},{"id":27,"uris":["http://zotero.org/users/18270926/items/AYKC55XN"],"itemData":{"id":27,"type":"article-journal","abstract":"This article explores the diachronic development of mirative end up in American English, which emerged in the late nineteenth century and which seems to be, at present, in the process of becoming a parenthetical element. The rise of the various mirative end up constructions is argued to be the result of both pragmatic enrichment and paradigmatic analogy, motivated by a series of semantically and formally related expressions, most prominently by mirative turn out. Moreover, the article delves into the process of cooptation to explain the emergence of parenthetical instances in the present-day language. Cooptation is understood as an intrinsically analogical-driven mechanism when it entails the eventual grammaticalization of formulaic parenthetical constructions. Data for the present study were taken from a variety of diachronic and synchronic sources, which include COHA, COCA and NOW, among others.","container-title":"English Language &amp; Linguistics","DOI":"10.1017/S1360674318000266","ISSN":"1360-6743, 1469-4379","issue":"1","language":"en","page":"97-121","source":"Cambridge University Press","title":"Analogy-driven change: the emergence and development of mirative end up constructions in American English","title-short":"Analogy-driven change","volume":"24","author":[{"family":"Serrano-Losada","given":"Mario"}],"issued":{"date-parts":[["2020",3]]}}}],"schema":"https://github.com/citation-style-language/schema/raw/master/csl-citation.json"} </w:instrText>
      </w:r>
      <w:r w:rsidR="003263DC" w:rsidRPr="00B9011F">
        <w:rPr>
          <w:rFonts w:ascii="Times New Roman" w:hAnsi="Times New Roman" w:cs="Times New Roman"/>
        </w:rPr>
        <w:fldChar w:fldCharType="separate"/>
      </w:r>
      <w:r w:rsidR="003263DC" w:rsidRPr="00B9011F">
        <w:rPr>
          <w:rFonts w:ascii="Times New Roman" w:hAnsi="Times New Roman" w:cs="Times New Roman"/>
        </w:rPr>
        <w:t>Serrano-Losada (2017, 2020</w:t>
      </w:r>
      <w:r w:rsidR="003263DC" w:rsidRPr="00B9011F">
        <w:rPr>
          <w:rFonts w:ascii="Times New Roman" w:hAnsi="Times New Roman" w:cs="Times New Roman"/>
        </w:rPr>
        <w:fldChar w:fldCharType="end"/>
      </w:r>
      <w:r w:rsidR="003263DC" w:rsidRPr="00B9011F">
        <w:rPr>
          <w:rFonts w:ascii="Times New Roman" w:hAnsi="Times New Roman" w:cs="Times New Roman"/>
        </w:rPr>
        <w:t>)</w:t>
      </w:r>
      <w:r w:rsidR="00B23D47" w:rsidRPr="00B9011F">
        <w:rPr>
          <w:rFonts w:ascii="Times New Roman" w:hAnsi="Times New Roman" w:cs="Times New Roman"/>
        </w:rPr>
        <w:t xml:space="preserve">. </w:t>
      </w:r>
      <w:r w:rsidR="00B23D47" w:rsidRPr="00B9011F">
        <w:rPr>
          <w:rFonts w:ascii="Times New Roman" w:hAnsi="Times New Roman" w:cs="Times New Roman"/>
          <w:i/>
          <w:iCs/>
        </w:rPr>
        <w:t>Turn out</w:t>
      </w:r>
      <w:r w:rsidR="00B23D47" w:rsidRPr="00B9011F">
        <w:rPr>
          <w:rFonts w:ascii="Times New Roman" w:hAnsi="Times New Roman" w:cs="Times New Roman"/>
        </w:rPr>
        <w:t>, however, appears to be primarily marking mirative meaning</w:t>
      </w:r>
      <w:r w:rsidR="009A0E65" w:rsidRPr="00B9011F">
        <w:rPr>
          <w:rFonts w:ascii="Times New Roman" w:hAnsi="Times New Roman" w:cs="Times New Roman"/>
        </w:rPr>
        <w:t xml:space="preserve">, which is related to the expression of surprise and unexpectedness </w:t>
      </w:r>
      <w:r w:rsidR="003263DC" w:rsidRPr="00B9011F">
        <w:rPr>
          <w:rFonts w:ascii="Times New Roman" w:hAnsi="Times New Roman" w:cs="Times New Roman"/>
        </w:rPr>
        <w:fldChar w:fldCharType="begin"/>
      </w:r>
      <w:r w:rsidR="00D0610E" w:rsidRPr="00B9011F">
        <w:rPr>
          <w:rFonts w:ascii="Times New Roman" w:hAnsi="Times New Roman" w:cs="Times New Roman"/>
        </w:rPr>
        <w:instrText xml:space="preserve"> ADDIN ZOTERO_ITEM CSL_CITATION {"citationID":"oA7E1eWs","properties":{"unsorted":false,"formattedCitation":"(Aikhenvald, 2012; DeLancey, 1997)","plainCitation":"(Aikhenvald, 2012; DeLancey, 1997)","noteIndex":0},"citationItems":[{"id":30,"uris":["http://zotero.org/users/18270926/items/QU5VAKCK"],"itemData":{"id":30,"type":"article-journal","abstract":"The range of mirative meanings across the world's languages subsumes sudden discovery, surprise, and unprepared mind of the speaker (and also the audience or the main character of a story). Mirative markers may also convey overtones of counterexpectation and new information. The range of mirative meanings may be expressed through a verbal affix, a complex predicate, or a pronoun. Evidentials whose major function is to express information source may have mirative extensions, especially in the context of the 1st person subject. The mirative category appears to be susceptible to linguistic diffusion. Adapted from the source document","container-title":"Linguistic typology","DOI":"10.1515/lity-2012-0017","ISSN":"1430-0532","issue":"3","language":"eng","page":"435–485","source":"uspc-upde.primo.exlibrisgroup.com","title":"The essence of mirativity","volume":"16","author":[{"family":"Aikhenvald","given":"Alexandra Y."}],"issued":{"date-parts":[["2012"]]}}},{"id":82,"uris":["http://zotero.org/users/18270926/items/C6J4MXUE"],"itemData":{"id":82,"type":"article-journal","abstract":"Article Mirativity: The grammatical marking of unexpected information was published on January 1, 1997 in the journal Linguistic Typology (volume 1, issue 1).","DOI":"10.1515/lity.1997.1.1.33","ISSN":"1613-415X","issue":"1","language":"en","license":"De Gruyter expressly reserves the right to use all content for commercial text and data mining within the meaning of Section 44b of the German Copyright Act.","page":"33-52","publisher":"De Gruyter Mouton","section":"Linguistic Typology","source":"www-degruyterbrill-com.ezproxy.u-paris.fr","title":"Mirativity: The grammatical marking of unexpected information","title-short":"Mirativity","volume":"1","author":[{"family":"DeLancey","given":"Scott"}],"issued":{"date-parts":[["1997",1,1]]}}}],"schema":"https://github.com/citation-style-language/schema/raw/master/csl-citation.json"} </w:instrText>
      </w:r>
      <w:r w:rsidR="003263DC" w:rsidRPr="00B9011F">
        <w:rPr>
          <w:rFonts w:ascii="Times New Roman" w:hAnsi="Times New Roman" w:cs="Times New Roman"/>
        </w:rPr>
        <w:fldChar w:fldCharType="separate"/>
      </w:r>
      <w:r w:rsidR="00D0610E" w:rsidRPr="00B9011F">
        <w:rPr>
          <w:rFonts w:ascii="Times New Roman" w:hAnsi="Times New Roman" w:cs="Times New Roman"/>
        </w:rPr>
        <w:t>(Aikhenvald, 2012; DeLancey, 1997)</w:t>
      </w:r>
      <w:r w:rsidR="003263DC" w:rsidRPr="00B9011F">
        <w:rPr>
          <w:rFonts w:ascii="Times New Roman" w:hAnsi="Times New Roman" w:cs="Times New Roman"/>
        </w:rPr>
        <w:fldChar w:fldCharType="end"/>
      </w:r>
      <w:r w:rsidR="00B23D47" w:rsidRPr="00B9011F">
        <w:rPr>
          <w:rFonts w:ascii="Times New Roman" w:hAnsi="Times New Roman" w:cs="Times New Roman"/>
        </w:rPr>
        <w:t>, through</w:t>
      </w:r>
      <w:r w:rsidR="002C16C7" w:rsidRPr="00B9011F">
        <w:rPr>
          <w:rFonts w:ascii="Times New Roman" w:hAnsi="Times New Roman" w:cs="Times New Roman"/>
        </w:rPr>
        <w:t xml:space="preserve"> its role</w:t>
      </w:r>
      <w:r w:rsidR="00B23D47" w:rsidRPr="00B9011F">
        <w:rPr>
          <w:rFonts w:ascii="Times New Roman" w:hAnsi="Times New Roman" w:cs="Times New Roman"/>
        </w:rPr>
        <w:t xml:space="preserve"> </w:t>
      </w:r>
      <w:r w:rsidR="003263DC" w:rsidRPr="00B9011F">
        <w:rPr>
          <w:rFonts w:ascii="Times New Roman" w:hAnsi="Times New Roman" w:cs="Times New Roman"/>
        </w:rPr>
        <w:t xml:space="preserve">as a </w:t>
      </w:r>
      <w:r w:rsidR="00B23D47" w:rsidRPr="00B9011F">
        <w:rPr>
          <w:rFonts w:ascii="Times New Roman" w:hAnsi="Times New Roman" w:cs="Times New Roman"/>
        </w:rPr>
        <w:t>truth</w:t>
      </w:r>
      <w:r w:rsidR="002C16C7" w:rsidRPr="00B9011F">
        <w:rPr>
          <w:rFonts w:ascii="Times New Roman" w:hAnsi="Times New Roman" w:cs="Times New Roman"/>
        </w:rPr>
        <w:t xml:space="preserve"> </w:t>
      </w:r>
      <w:proofErr w:type="spellStart"/>
      <w:r w:rsidR="002C16C7" w:rsidRPr="00B9011F">
        <w:rPr>
          <w:rFonts w:ascii="Times New Roman" w:hAnsi="Times New Roman" w:cs="Times New Roman"/>
        </w:rPr>
        <w:t>revelator</w:t>
      </w:r>
      <w:proofErr w:type="spellEnd"/>
      <w:r w:rsidR="00B23D47" w:rsidRPr="00B9011F">
        <w:rPr>
          <w:rFonts w:ascii="Times New Roman" w:hAnsi="Times New Roman" w:cs="Times New Roman"/>
        </w:rPr>
        <w:t>. Th</w:t>
      </w:r>
      <w:r w:rsidR="00461B95" w:rsidRPr="00B9011F">
        <w:rPr>
          <w:rFonts w:ascii="Times New Roman" w:hAnsi="Times New Roman" w:cs="Times New Roman"/>
        </w:rPr>
        <w:t>is</w:t>
      </w:r>
      <w:r w:rsidR="00B23D47" w:rsidRPr="00B9011F">
        <w:rPr>
          <w:rFonts w:ascii="Times New Roman" w:hAnsi="Times New Roman" w:cs="Times New Roman"/>
        </w:rPr>
        <w:t xml:space="preserve"> presentation </w:t>
      </w:r>
      <w:r w:rsidR="00461B95" w:rsidRPr="00B9011F">
        <w:rPr>
          <w:rFonts w:ascii="Times New Roman" w:hAnsi="Times New Roman" w:cs="Times New Roman"/>
        </w:rPr>
        <w:t xml:space="preserve">aims to </w:t>
      </w:r>
      <w:r w:rsidR="00B23D47" w:rsidRPr="00B9011F">
        <w:rPr>
          <w:rFonts w:ascii="Times New Roman" w:hAnsi="Times New Roman" w:cs="Times New Roman"/>
        </w:rPr>
        <w:t>articulate the properties of these two verbs with the syntactic differences attributed to the constructions in which they are found.</w:t>
      </w:r>
      <w:r w:rsidR="009A0E65" w:rsidRPr="00B9011F">
        <w:rPr>
          <w:rFonts w:ascii="Times New Roman" w:hAnsi="Times New Roman" w:cs="Times New Roman"/>
        </w:rPr>
        <w:t xml:space="preserve"> Comparison will therefore involve the domain of </w:t>
      </w:r>
      <w:proofErr w:type="spellStart"/>
      <w:r w:rsidR="009A0E65" w:rsidRPr="00B9011F">
        <w:rPr>
          <w:rFonts w:ascii="Times New Roman" w:hAnsi="Times New Roman" w:cs="Times New Roman"/>
        </w:rPr>
        <w:t>mirativity</w:t>
      </w:r>
      <w:proofErr w:type="spellEnd"/>
      <w:r w:rsidR="009A0E65" w:rsidRPr="00B9011F">
        <w:rPr>
          <w:rFonts w:ascii="Times New Roman" w:hAnsi="Times New Roman" w:cs="Times New Roman"/>
        </w:rPr>
        <w:t>, along with the syntactic, semantic and discursive levels.</w:t>
      </w:r>
    </w:p>
    <w:p w14:paraId="7D911E90" w14:textId="77777777" w:rsidR="00461B95" w:rsidRPr="00B9011F" w:rsidRDefault="00461B95" w:rsidP="00A46F54">
      <w:pPr>
        <w:jc w:val="both"/>
        <w:rPr>
          <w:rFonts w:ascii="Times New Roman" w:hAnsi="Times New Roman" w:cs="Times New Roman"/>
        </w:rPr>
      </w:pPr>
    </w:p>
    <w:p w14:paraId="289D4E36" w14:textId="5BBFC6EC" w:rsidR="00461B95" w:rsidRPr="00B9011F" w:rsidRDefault="00461B95" w:rsidP="00A46F54">
      <w:pPr>
        <w:jc w:val="both"/>
        <w:rPr>
          <w:rFonts w:ascii="Times New Roman" w:hAnsi="Times New Roman" w:cs="Times New Roman"/>
          <w:u w:val="single"/>
        </w:rPr>
      </w:pPr>
      <w:r w:rsidRPr="00B9011F">
        <w:rPr>
          <w:rFonts w:ascii="Times New Roman" w:hAnsi="Times New Roman" w:cs="Times New Roman"/>
          <w:u w:val="single"/>
        </w:rPr>
        <w:t>References:</w:t>
      </w:r>
    </w:p>
    <w:p w14:paraId="05E8A69D" w14:textId="77777777" w:rsidR="00D0610E" w:rsidRPr="00B9011F" w:rsidRDefault="00461B95" w:rsidP="00FE189A">
      <w:pPr>
        <w:pStyle w:val="Bibliographie"/>
        <w:spacing w:line="276" w:lineRule="auto"/>
        <w:rPr>
          <w:rFonts w:ascii="Times New Roman" w:hAnsi="Times New Roman" w:cs="Times New Roman"/>
        </w:rPr>
      </w:pPr>
      <w:r w:rsidRPr="00B9011F">
        <w:rPr>
          <w:rFonts w:ascii="Times New Roman" w:hAnsi="Times New Roman" w:cs="Times New Roman"/>
        </w:rPr>
        <w:fldChar w:fldCharType="begin"/>
      </w:r>
      <w:r w:rsidR="00D0610E" w:rsidRPr="00B9011F">
        <w:rPr>
          <w:rFonts w:ascii="Times New Roman" w:hAnsi="Times New Roman" w:cs="Times New Roman"/>
        </w:rPr>
        <w:instrText xml:space="preserve"> ADDIN ZOTERO_BIBL {"uncited":[],"omitted":[],"custom":[]} CSL_BIBLIOGRAPHY </w:instrText>
      </w:r>
      <w:r w:rsidRPr="00B9011F">
        <w:rPr>
          <w:rFonts w:ascii="Times New Roman" w:hAnsi="Times New Roman" w:cs="Times New Roman"/>
        </w:rPr>
        <w:fldChar w:fldCharType="separate"/>
      </w:r>
      <w:r w:rsidR="00D0610E" w:rsidRPr="00B9011F">
        <w:rPr>
          <w:rFonts w:ascii="Times New Roman" w:hAnsi="Times New Roman" w:cs="Times New Roman"/>
        </w:rPr>
        <w:t xml:space="preserve">Aikhenvald, A. Y. (2012). The essence of mirativity. </w:t>
      </w:r>
      <w:r w:rsidR="00D0610E" w:rsidRPr="00B9011F">
        <w:rPr>
          <w:rFonts w:ascii="Times New Roman" w:hAnsi="Times New Roman" w:cs="Times New Roman"/>
          <w:i/>
          <w:iCs/>
        </w:rPr>
        <w:t>Linguistic Typology</w:t>
      </w:r>
      <w:r w:rsidR="00D0610E" w:rsidRPr="00B9011F">
        <w:rPr>
          <w:rFonts w:ascii="Times New Roman" w:hAnsi="Times New Roman" w:cs="Times New Roman"/>
        </w:rPr>
        <w:t xml:space="preserve">, </w:t>
      </w:r>
      <w:r w:rsidR="00D0610E" w:rsidRPr="00B9011F">
        <w:rPr>
          <w:rFonts w:ascii="Times New Roman" w:hAnsi="Times New Roman" w:cs="Times New Roman"/>
          <w:i/>
          <w:iCs/>
        </w:rPr>
        <w:t>16</w:t>
      </w:r>
      <w:r w:rsidR="00D0610E" w:rsidRPr="00B9011F">
        <w:rPr>
          <w:rFonts w:ascii="Times New Roman" w:hAnsi="Times New Roman" w:cs="Times New Roman"/>
        </w:rPr>
        <w:t>(3), 435‑485. https://doi.org/10.1515/lity-2012-0017</w:t>
      </w:r>
    </w:p>
    <w:p w14:paraId="494C80A5"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DeLancey, S. (1997). </w:t>
      </w:r>
      <w:r w:rsidRPr="00B9011F">
        <w:rPr>
          <w:rFonts w:ascii="Times New Roman" w:hAnsi="Times New Roman" w:cs="Times New Roman"/>
          <w:i/>
          <w:iCs/>
        </w:rPr>
        <w:t>Mirativity : The grammatical marking of unexpected information</w:t>
      </w:r>
      <w:r w:rsidRPr="00B9011F">
        <w:rPr>
          <w:rFonts w:ascii="Times New Roman" w:hAnsi="Times New Roman" w:cs="Times New Roman"/>
        </w:rPr>
        <w:t xml:space="preserve">. </w:t>
      </w:r>
      <w:r w:rsidRPr="00B9011F">
        <w:rPr>
          <w:rFonts w:ascii="Times New Roman" w:hAnsi="Times New Roman" w:cs="Times New Roman"/>
          <w:i/>
          <w:iCs/>
        </w:rPr>
        <w:t>1</w:t>
      </w:r>
      <w:r w:rsidRPr="00B9011F">
        <w:rPr>
          <w:rFonts w:ascii="Times New Roman" w:hAnsi="Times New Roman" w:cs="Times New Roman"/>
        </w:rPr>
        <w:t>(1), 33‑52. https://doi.org/10.1515/lity.1997.1.1.33</w:t>
      </w:r>
    </w:p>
    <w:p w14:paraId="16F008D8"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Grimm, S. (2010). An empirical view on raising to subject. </w:t>
      </w:r>
      <w:r w:rsidRPr="00B9011F">
        <w:rPr>
          <w:rFonts w:ascii="Times New Roman" w:hAnsi="Times New Roman" w:cs="Times New Roman"/>
          <w:i/>
          <w:iCs/>
        </w:rPr>
        <w:t>ZAS Papers in Linguistics</w:t>
      </w:r>
      <w:r w:rsidRPr="00B9011F">
        <w:rPr>
          <w:rFonts w:ascii="Times New Roman" w:hAnsi="Times New Roman" w:cs="Times New Roman"/>
        </w:rPr>
        <w:t xml:space="preserve">, </w:t>
      </w:r>
      <w:r w:rsidRPr="00B9011F">
        <w:rPr>
          <w:rFonts w:ascii="Times New Roman" w:hAnsi="Times New Roman" w:cs="Times New Roman"/>
          <w:i/>
          <w:iCs/>
        </w:rPr>
        <w:t>52</w:t>
      </w:r>
      <w:r w:rsidRPr="00B9011F">
        <w:rPr>
          <w:rFonts w:ascii="Times New Roman" w:hAnsi="Times New Roman" w:cs="Times New Roman"/>
        </w:rPr>
        <w:t>, 83‑109. https://doi.org/10.21248/zaspil.52.2010.384</w:t>
      </w:r>
    </w:p>
    <w:p w14:paraId="11900436"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Mair, C. (1990). </w:t>
      </w:r>
      <w:r w:rsidRPr="00B9011F">
        <w:rPr>
          <w:rFonts w:ascii="Times New Roman" w:hAnsi="Times New Roman" w:cs="Times New Roman"/>
          <w:i/>
          <w:iCs/>
        </w:rPr>
        <w:t>Infinitival complement clauses in English : A study of syntax in discourse</w:t>
      </w:r>
      <w:r w:rsidRPr="00B9011F">
        <w:rPr>
          <w:rFonts w:ascii="Times New Roman" w:hAnsi="Times New Roman" w:cs="Times New Roman"/>
        </w:rPr>
        <w:t>. Cambridge university press.</w:t>
      </w:r>
    </w:p>
    <w:p w14:paraId="5CFE58DE"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Noël, D. (1997). The choice between infinitives and that-clauses after believe. </w:t>
      </w:r>
      <w:r w:rsidRPr="00B9011F">
        <w:rPr>
          <w:rFonts w:ascii="Times New Roman" w:hAnsi="Times New Roman" w:cs="Times New Roman"/>
          <w:i/>
          <w:iCs/>
        </w:rPr>
        <w:t>English Language and Linguistics</w:t>
      </w:r>
      <w:r w:rsidRPr="00B9011F">
        <w:rPr>
          <w:rFonts w:ascii="Times New Roman" w:hAnsi="Times New Roman" w:cs="Times New Roman"/>
        </w:rPr>
        <w:t xml:space="preserve">, </w:t>
      </w:r>
      <w:r w:rsidRPr="00B9011F">
        <w:rPr>
          <w:rFonts w:ascii="Times New Roman" w:hAnsi="Times New Roman" w:cs="Times New Roman"/>
          <w:i/>
          <w:iCs/>
        </w:rPr>
        <w:t>1</w:t>
      </w:r>
      <w:r w:rsidRPr="00B9011F">
        <w:rPr>
          <w:rFonts w:ascii="Times New Roman" w:hAnsi="Times New Roman" w:cs="Times New Roman"/>
        </w:rPr>
        <w:t>(2), 271‑284. https://doi.org/10.1017/S1360674300000538</w:t>
      </w:r>
    </w:p>
    <w:p w14:paraId="24A420E8"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Pijpops, D., Franco, K., Speelman, D., &amp; Van De Velde, F. (2024). Introduction : What are alternations and how should we study them? </w:t>
      </w:r>
      <w:r w:rsidRPr="00B9011F">
        <w:rPr>
          <w:rFonts w:ascii="Times New Roman" w:hAnsi="Times New Roman" w:cs="Times New Roman"/>
          <w:i/>
          <w:iCs/>
        </w:rPr>
        <w:t>Linguistics Vanguard</w:t>
      </w:r>
      <w:r w:rsidRPr="00B9011F">
        <w:rPr>
          <w:rFonts w:ascii="Times New Roman" w:hAnsi="Times New Roman" w:cs="Times New Roman"/>
        </w:rPr>
        <w:t xml:space="preserve">, </w:t>
      </w:r>
      <w:r w:rsidRPr="00B9011F">
        <w:rPr>
          <w:rFonts w:ascii="Times New Roman" w:hAnsi="Times New Roman" w:cs="Times New Roman"/>
          <w:i/>
          <w:iCs/>
        </w:rPr>
        <w:t>10</w:t>
      </w:r>
      <w:r w:rsidRPr="00B9011F">
        <w:rPr>
          <w:rFonts w:ascii="Times New Roman" w:hAnsi="Times New Roman" w:cs="Times New Roman"/>
        </w:rPr>
        <w:t>(s1), 1‑7. https://doi.org/10.1515/lingvan-2023-0165</w:t>
      </w:r>
    </w:p>
    <w:p w14:paraId="478F191B"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Serrano-Losada, M. (2017). Raising </w:t>
      </w:r>
      <w:r w:rsidRPr="00B9011F">
        <w:rPr>
          <w:rFonts w:ascii="Times New Roman" w:hAnsi="Times New Roman" w:cs="Times New Roman"/>
          <w:i/>
          <w:iCs/>
        </w:rPr>
        <w:t>turn out</w:t>
      </w:r>
      <w:r w:rsidRPr="00B9011F">
        <w:rPr>
          <w:rFonts w:ascii="Times New Roman" w:hAnsi="Times New Roman" w:cs="Times New Roman"/>
        </w:rPr>
        <w:t xml:space="preserve"> in Late Modern English : The rise of a mirative predicate. </w:t>
      </w:r>
      <w:r w:rsidRPr="00B9011F">
        <w:rPr>
          <w:rFonts w:ascii="Times New Roman" w:hAnsi="Times New Roman" w:cs="Times New Roman"/>
          <w:i/>
          <w:iCs/>
        </w:rPr>
        <w:t>Review of Cognitive Linguistics</w:t>
      </w:r>
      <w:r w:rsidRPr="00B9011F">
        <w:rPr>
          <w:rFonts w:ascii="Times New Roman" w:hAnsi="Times New Roman" w:cs="Times New Roman"/>
        </w:rPr>
        <w:t xml:space="preserve">, </w:t>
      </w:r>
      <w:r w:rsidRPr="00B9011F">
        <w:rPr>
          <w:rFonts w:ascii="Times New Roman" w:hAnsi="Times New Roman" w:cs="Times New Roman"/>
          <w:i/>
          <w:iCs/>
        </w:rPr>
        <w:t>15</w:t>
      </w:r>
      <w:r w:rsidRPr="00B9011F">
        <w:rPr>
          <w:rFonts w:ascii="Times New Roman" w:hAnsi="Times New Roman" w:cs="Times New Roman"/>
        </w:rPr>
        <w:t>(2), 411‑437. https://doi.org/10.1075/rcl.15.2.05ser</w:t>
      </w:r>
    </w:p>
    <w:p w14:paraId="57C2FCD2" w14:textId="77777777" w:rsidR="00D0610E" w:rsidRPr="00B9011F" w:rsidRDefault="00D0610E" w:rsidP="00FE189A">
      <w:pPr>
        <w:pStyle w:val="Bibliographie"/>
        <w:spacing w:line="276" w:lineRule="auto"/>
        <w:rPr>
          <w:rFonts w:ascii="Times New Roman" w:hAnsi="Times New Roman" w:cs="Times New Roman"/>
        </w:rPr>
      </w:pPr>
      <w:r w:rsidRPr="00B9011F">
        <w:rPr>
          <w:rFonts w:ascii="Times New Roman" w:hAnsi="Times New Roman" w:cs="Times New Roman"/>
        </w:rPr>
        <w:t xml:space="preserve">Serrano-Losada, M. (2020). Analogy-driven change : The emergence and development of mirative end up constructions in American English. </w:t>
      </w:r>
      <w:r w:rsidRPr="00B9011F">
        <w:rPr>
          <w:rFonts w:ascii="Times New Roman" w:hAnsi="Times New Roman" w:cs="Times New Roman"/>
          <w:i/>
          <w:iCs/>
        </w:rPr>
        <w:t>English Language &amp; Linguistics</w:t>
      </w:r>
      <w:r w:rsidRPr="00B9011F">
        <w:rPr>
          <w:rFonts w:ascii="Times New Roman" w:hAnsi="Times New Roman" w:cs="Times New Roman"/>
        </w:rPr>
        <w:t xml:space="preserve">, </w:t>
      </w:r>
      <w:r w:rsidRPr="00B9011F">
        <w:rPr>
          <w:rFonts w:ascii="Times New Roman" w:hAnsi="Times New Roman" w:cs="Times New Roman"/>
          <w:i/>
          <w:iCs/>
        </w:rPr>
        <w:t>24</w:t>
      </w:r>
      <w:r w:rsidRPr="00B9011F">
        <w:rPr>
          <w:rFonts w:ascii="Times New Roman" w:hAnsi="Times New Roman" w:cs="Times New Roman"/>
        </w:rPr>
        <w:t>(1), 97‑121. https://doi.org/10.1017/S1360674318000266</w:t>
      </w:r>
    </w:p>
    <w:p w14:paraId="093F6515" w14:textId="6ECBE609" w:rsidR="003263DC" w:rsidRPr="009A0E65" w:rsidRDefault="00461B95" w:rsidP="00FE189A">
      <w:pPr>
        <w:spacing w:line="276" w:lineRule="auto"/>
        <w:jc w:val="both"/>
        <w:rPr>
          <w:rFonts w:ascii="Times New Roman" w:hAnsi="Times New Roman" w:cs="Times New Roman"/>
          <w:sz w:val="24"/>
          <w:szCs w:val="24"/>
        </w:rPr>
      </w:pPr>
      <w:r w:rsidRPr="00B9011F">
        <w:rPr>
          <w:rFonts w:ascii="Times New Roman" w:hAnsi="Times New Roman" w:cs="Times New Roman"/>
        </w:rPr>
        <w:fldChar w:fldCharType="end"/>
      </w:r>
    </w:p>
    <w:sectPr w:rsidR="003263DC" w:rsidRPr="009A0E65" w:rsidSect="00EC56B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5C130" w14:textId="77777777" w:rsidR="00956C6C" w:rsidRDefault="00956C6C" w:rsidP="00CF47C3">
      <w:pPr>
        <w:spacing w:after="0" w:line="240" w:lineRule="auto"/>
      </w:pPr>
      <w:r>
        <w:separator/>
      </w:r>
    </w:p>
  </w:endnote>
  <w:endnote w:type="continuationSeparator" w:id="0">
    <w:p w14:paraId="4A09A129" w14:textId="77777777" w:rsidR="00956C6C" w:rsidRDefault="00956C6C" w:rsidP="00CF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95FFF" w14:textId="77777777" w:rsidR="00956C6C" w:rsidRDefault="00956C6C" w:rsidP="00CF47C3">
      <w:pPr>
        <w:spacing w:after="0" w:line="240" w:lineRule="auto"/>
      </w:pPr>
      <w:r>
        <w:separator/>
      </w:r>
    </w:p>
  </w:footnote>
  <w:footnote w:type="continuationSeparator" w:id="0">
    <w:p w14:paraId="5BAD9CED" w14:textId="77777777" w:rsidR="00956C6C" w:rsidRDefault="00956C6C" w:rsidP="00CF4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F2241" w14:textId="26A11377" w:rsidR="00CF47C3" w:rsidRDefault="00CF47C3" w:rsidP="00CF47C3">
    <w:pPr>
      <w:pStyle w:val="En-tte"/>
      <w:jc w:val="right"/>
      <w:rPr>
        <w:rFonts w:ascii="Times New Roman" w:hAnsi="Times New Roman" w:cs="Times New Roman"/>
        <w:lang w:val="fr-FR"/>
      </w:rPr>
    </w:pPr>
    <w:r w:rsidRPr="00CF47C3">
      <w:rPr>
        <w:rFonts w:ascii="Times New Roman" w:hAnsi="Times New Roman" w:cs="Times New Roman"/>
        <w:lang w:val="fr-FR"/>
      </w:rPr>
      <w:t>Anaïs Robin</w:t>
    </w:r>
  </w:p>
  <w:p w14:paraId="3235237F" w14:textId="5E848A06" w:rsidR="00CF47C3" w:rsidRPr="00CF47C3" w:rsidRDefault="00CF47C3" w:rsidP="00CF47C3">
    <w:pPr>
      <w:pStyle w:val="En-tte"/>
      <w:jc w:val="right"/>
      <w:rPr>
        <w:rFonts w:ascii="Times New Roman" w:hAnsi="Times New Roman" w:cs="Times New Roman"/>
        <w:lang w:val="fr-FR"/>
      </w:rPr>
    </w:pPr>
    <w:r>
      <w:rPr>
        <w:rFonts w:ascii="Times New Roman" w:hAnsi="Times New Roman" w:cs="Times New Roman"/>
        <w:lang w:val="fr-FR"/>
      </w:rPr>
      <w:t xml:space="preserve">English </w:t>
    </w:r>
    <w:proofErr w:type="spellStart"/>
    <w:r>
      <w:rPr>
        <w:rFonts w:ascii="Times New Roman" w:hAnsi="Times New Roman" w:cs="Times New Roman"/>
        <w:lang w:val="fr-FR"/>
      </w:rPr>
      <w:t>Linguistics</w:t>
    </w:r>
    <w:proofErr w:type="spellEnd"/>
    <w:r>
      <w:rPr>
        <w:rFonts w:ascii="Times New Roman" w:hAnsi="Times New Roman" w:cs="Times New Roman"/>
        <w:lang w:val="fr-FR"/>
      </w:rPr>
      <w:t xml:space="preserve"> Master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BE"/>
    <w:rsid w:val="00081343"/>
    <w:rsid w:val="0012156E"/>
    <w:rsid w:val="00181BB1"/>
    <w:rsid w:val="00194622"/>
    <w:rsid w:val="002C16C7"/>
    <w:rsid w:val="002D0987"/>
    <w:rsid w:val="003263DC"/>
    <w:rsid w:val="003736D9"/>
    <w:rsid w:val="00461B95"/>
    <w:rsid w:val="0049398D"/>
    <w:rsid w:val="004D5D62"/>
    <w:rsid w:val="00576B0B"/>
    <w:rsid w:val="006039E3"/>
    <w:rsid w:val="00944CA7"/>
    <w:rsid w:val="00956C6C"/>
    <w:rsid w:val="009A0E65"/>
    <w:rsid w:val="00A46F54"/>
    <w:rsid w:val="00A73D47"/>
    <w:rsid w:val="00A90387"/>
    <w:rsid w:val="00B23D47"/>
    <w:rsid w:val="00B9011F"/>
    <w:rsid w:val="00C03351"/>
    <w:rsid w:val="00CA33CF"/>
    <w:rsid w:val="00CF47C3"/>
    <w:rsid w:val="00D0610E"/>
    <w:rsid w:val="00DA5A02"/>
    <w:rsid w:val="00DE410D"/>
    <w:rsid w:val="00E816BE"/>
    <w:rsid w:val="00EC56B7"/>
    <w:rsid w:val="00F77A3A"/>
    <w:rsid w:val="00FD3AA2"/>
    <w:rsid w:val="00FE189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2136"/>
  <w15:chartTrackingRefBased/>
  <w15:docId w15:val="{D7E06608-D946-4C40-B3C6-BF0E1295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E81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81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816B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816B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816B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816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816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816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816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16B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816B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816B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816B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816B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816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16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16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16BE"/>
    <w:rPr>
      <w:rFonts w:eastAsiaTheme="majorEastAsia" w:cstheme="majorBidi"/>
      <w:color w:val="272727" w:themeColor="text1" w:themeTint="D8"/>
    </w:rPr>
  </w:style>
  <w:style w:type="paragraph" w:styleId="Titre">
    <w:name w:val="Title"/>
    <w:basedOn w:val="Normal"/>
    <w:next w:val="Normal"/>
    <w:link w:val="TitreCar"/>
    <w:uiPriority w:val="10"/>
    <w:qFormat/>
    <w:rsid w:val="00E81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816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16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816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16BE"/>
    <w:pPr>
      <w:spacing w:before="160"/>
      <w:jc w:val="center"/>
    </w:pPr>
    <w:rPr>
      <w:i/>
      <w:iCs/>
      <w:color w:val="404040" w:themeColor="text1" w:themeTint="BF"/>
    </w:rPr>
  </w:style>
  <w:style w:type="character" w:customStyle="1" w:styleId="CitationCar">
    <w:name w:val="Citation Car"/>
    <w:basedOn w:val="Policepardfaut"/>
    <w:link w:val="Citation"/>
    <w:uiPriority w:val="29"/>
    <w:rsid w:val="00E816BE"/>
    <w:rPr>
      <w:i/>
      <w:iCs/>
      <w:color w:val="404040" w:themeColor="text1" w:themeTint="BF"/>
    </w:rPr>
  </w:style>
  <w:style w:type="paragraph" w:styleId="Paragraphedeliste">
    <w:name w:val="List Paragraph"/>
    <w:basedOn w:val="Normal"/>
    <w:uiPriority w:val="34"/>
    <w:qFormat/>
    <w:rsid w:val="00E816BE"/>
    <w:pPr>
      <w:ind w:left="720"/>
      <w:contextualSpacing/>
    </w:pPr>
  </w:style>
  <w:style w:type="character" w:styleId="Emphaseintense">
    <w:name w:val="Intense Emphasis"/>
    <w:basedOn w:val="Policepardfaut"/>
    <w:uiPriority w:val="21"/>
    <w:qFormat/>
    <w:rsid w:val="00E816BE"/>
    <w:rPr>
      <w:i/>
      <w:iCs/>
      <w:color w:val="0F4761" w:themeColor="accent1" w:themeShade="BF"/>
    </w:rPr>
  </w:style>
  <w:style w:type="paragraph" w:styleId="Citationintense">
    <w:name w:val="Intense Quote"/>
    <w:basedOn w:val="Normal"/>
    <w:next w:val="Normal"/>
    <w:link w:val="CitationintenseCar"/>
    <w:uiPriority w:val="30"/>
    <w:qFormat/>
    <w:rsid w:val="00E81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816BE"/>
    <w:rPr>
      <w:i/>
      <w:iCs/>
      <w:color w:val="0F4761" w:themeColor="accent1" w:themeShade="BF"/>
    </w:rPr>
  </w:style>
  <w:style w:type="character" w:styleId="Rfrenceintense">
    <w:name w:val="Intense Reference"/>
    <w:basedOn w:val="Policepardfaut"/>
    <w:uiPriority w:val="32"/>
    <w:qFormat/>
    <w:rsid w:val="00E816BE"/>
    <w:rPr>
      <w:b/>
      <w:bCs/>
      <w:smallCaps/>
      <w:color w:val="0F4761" w:themeColor="accent1" w:themeShade="BF"/>
      <w:spacing w:val="5"/>
    </w:rPr>
  </w:style>
  <w:style w:type="paragraph" w:styleId="Rvision">
    <w:name w:val="Revision"/>
    <w:hidden/>
    <w:uiPriority w:val="99"/>
    <w:semiHidden/>
    <w:rsid w:val="00E816BE"/>
    <w:pPr>
      <w:spacing w:after="0" w:line="240" w:lineRule="auto"/>
    </w:pPr>
  </w:style>
  <w:style w:type="paragraph" w:styleId="Bibliographie">
    <w:name w:val="Bibliography"/>
    <w:basedOn w:val="Normal"/>
    <w:next w:val="Normal"/>
    <w:uiPriority w:val="37"/>
    <w:unhideWhenUsed/>
    <w:rsid w:val="00461B95"/>
    <w:pPr>
      <w:spacing w:after="0" w:line="480" w:lineRule="auto"/>
      <w:ind w:left="720" w:hanging="720"/>
    </w:pPr>
  </w:style>
  <w:style w:type="paragraph" w:styleId="En-tte">
    <w:name w:val="header"/>
    <w:basedOn w:val="Normal"/>
    <w:link w:val="En-tteCar"/>
    <w:uiPriority w:val="99"/>
    <w:unhideWhenUsed/>
    <w:rsid w:val="00CF47C3"/>
    <w:pPr>
      <w:tabs>
        <w:tab w:val="center" w:pos="4536"/>
        <w:tab w:val="right" w:pos="9072"/>
      </w:tabs>
      <w:spacing w:after="0" w:line="240" w:lineRule="auto"/>
    </w:pPr>
  </w:style>
  <w:style w:type="character" w:customStyle="1" w:styleId="En-tteCar">
    <w:name w:val="En-tête Car"/>
    <w:basedOn w:val="Policepardfaut"/>
    <w:link w:val="En-tte"/>
    <w:uiPriority w:val="99"/>
    <w:rsid w:val="00CF47C3"/>
  </w:style>
  <w:style w:type="paragraph" w:styleId="Pieddepage">
    <w:name w:val="footer"/>
    <w:basedOn w:val="Normal"/>
    <w:link w:val="PieddepageCar"/>
    <w:uiPriority w:val="99"/>
    <w:unhideWhenUsed/>
    <w:rsid w:val="00CF47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4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2077</Words>
  <Characters>11425</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ROBIN</dc:creator>
  <cp:keywords/>
  <dc:description/>
  <cp:lastModifiedBy>Agnes Celle</cp:lastModifiedBy>
  <cp:revision>2</cp:revision>
  <dcterms:created xsi:type="dcterms:W3CDTF">2026-06-29T17:48:00Z</dcterms:created>
  <dcterms:modified xsi:type="dcterms:W3CDTF">2026-06-29T17:48:00Z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id="pS799UJa"/&gt;&lt;style id="http://www.zotero.org/styles/apa" locale="fr-FR" hasBibliography="1" bibliographyStyleHasBeenSet="1"/&gt;&lt;prefs&gt;&lt;pref name="fieldType" value="Field"/&gt;&lt;/prefs&gt;&lt;/data&gt;</vt:lpwstr>
  </property>
</Properties>
</file>