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95D91C" w14:textId="5AE3D81B" w:rsidR="00C12AAA" w:rsidRPr="00C12AAA" w:rsidRDefault="00C12AAA" w:rsidP="00C12AAA">
      <w:pPr>
        <w:pStyle w:val="NormalWeb"/>
        <w:jc w:val="both"/>
        <w:rPr>
          <w:rFonts w:ascii="Palatino" w:hAnsi="Palatino"/>
          <w:sz w:val="22"/>
          <w:szCs w:val="22"/>
        </w:rPr>
      </w:pPr>
      <w:bookmarkStart w:id="0" w:name="_GoBack"/>
      <w:bookmarkEnd w:id="0"/>
      <w:r w:rsidRPr="00C12AAA">
        <w:rPr>
          <w:rFonts w:ascii="Palatino" w:hAnsi="Palatino"/>
          <w:b/>
          <w:bCs/>
          <w:sz w:val="22"/>
          <w:szCs w:val="22"/>
        </w:rPr>
        <w:t xml:space="preserve">La construction sémantique humoristique des mèmes </w:t>
      </w:r>
      <w:r w:rsidR="007115B4">
        <w:rPr>
          <w:rFonts w:ascii="Palatino" w:hAnsi="Palatino"/>
          <w:b/>
          <w:bCs/>
          <w:sz w:val="22"/>
          <w:szCs w:val="22"/>
        </w:rPr>
        <w:t>d’</w:t>
      </w:r>
      <w:r w:rsidRPr="00C12AAA">
        <w:rPr>
          <w:rFonts w:ascii="Palatino" w:hAnsi="Palatino"/>
          <w:b/>
          <w:bCs/>
          <w:sz w:val="22"/>
          <w:szCs w:val="22"/>
        </w:rPr>
        <w:t>Internet</w:t>
      </w:r>
      <w:r w:rsidR="00774782">
        <w:rPr>
          <w:rFonts w:ascii="Palatino" w:hAnsi="Palatino"/>
          <w:b/>
          <w:bCs/>
          <w:sz w:val="22"/>
          <w:szCs w:val="22"/>
        </w:rPr>
        <w:t> </w:t>
      </w:r>
      <w:r w:rsidRPr="00C12AAA">
        <w:rPr>
          <w:rFonts w:ascii="Palatino" w:hAnsi="Palatino"/>
          <w:b/>
          <w:bCs/>
          <w:sz w:val="22"/>
          <w:szCs w:val="22"/>
        </w:rPr>
        <w:t xml:space="preserve">: une </w:t>
      </w:r>
      <w:r w:rsidR="007115B4" w:rsidRPr="00C12AAA">
        <w:rPr>
          <w:rFonts w:ascii="Palatino" w:hAnsi="Palatino"/>
          <w:sz w:val="22"/>
          <w:szCs w:val="22"/>
        </w:rPr>
        <w:t>«</w:t>
      </w:r>
      <w:r w:rsidR="007115B4">
        <w:rPr>
          <w:rFonts w:ascii="Palatino" w:hAnsi="Palatino"/>
          <w:sz w:val="22"/>
          <w:szCs w:val="22"/>
        </w:rPr>
        <w:t> </w:t>
      </w:r>
      <w:r w:rsidR="007115B4">
        <w:rPr>
          <w:rFonts w:ascii="Palatino" w:hAnsi="Palatino"/>
          <w:b/>
          <w:bCs/>
          <w:sz w:val="22"/>
          <w:szCs w:val="22"/>
        </w:rPr>
        <w:t>parole</w:t>
      </w:r>
      <w:r w:rsidRPr="00C12AAA">
        <w:rPr>
          <w:rFonts w:ascii="Palatino" w:hAnsi="Palatino"/>
          <w:b/>
          <w:bCs/>
          <w:sz w:val="22"/>
          <w:szCs w:val="22"/>
        </w:rPr>
        <w:t xml:space="preserve"> émotionnelle</w:t>
      </w:r>
      <w:r w:rsidR="007115B4">
        <w:rPr>
          <w:rFonts w:ascii="Palatino" w:hAnsi="Palatino"/>
          <w:sz w:val="22"/>
          <w:szCs w:val="22"/>
        </w:rPr>
        <w:t> </w:t>
      </w:r>
      <w:r w:rsidR="007115B4" w:rsidRPr="00C12AAA">
        <w:rPr>
          <w:rFonts w:ascii="Palatino" w:hAnsi="Palatino"/>
          <w:sz w:val="22"/>
          <w:szCs w:val="22"/>
        </w:rPr>
        <w:t xml:space="preserve">» </w:t>
      </w:r>
      <w:r w:rsidRPr="00C12AAA">
        <w:rPr>
          <w:rFonts w:ascii="Palatino" w:hAnsi="Palatino"/>
          <w:b/>
          <w:bCs/>
          <w:sz w:val="22"/>
          <w:szCs w:val="22"/>
        </w:rPr>
        <w:t>d'une grande efficacité argumentative</w:t>
      </w:r>
    </w:p>
    <w:p w14:paraId="1710CBCA" w14:textId="0A495B51" w:rsidR="00042D77" w:rsidRPr="00C12AAA" w:rsidRDefault="00042D77" w:rsidP="00C12AAA">
      <w:pPr>
        <w:pStyle w:val="NormalWeb"/>
        <w:jc w:val="both"/>
        <w:rPr>
          <w:rFonts w:ascii="Palatino" w:hAnsi="Palatino"/>
          <w:b/>
          <w:bCs/>
          <w:sz w:val="22"/>
          <w:szCs w:val="22"/>
        </w:rPr>
      </w:pPr>
      <w:r w:rsidRPr="00C12AAA">
        <w:rPr>
          <w:rFonts w:ascii="Palatino" w:hAnsi="Palatino"/>
          <w:b/>
          <w:bCs/>
          <w:sz w:val="22"/>
          <w:szCs w:val="22"/>
        </w:rPr>
        <w:t>Carlota Piedehierro (ALTAE, Université Paris Cité)</w:t>
      </w:r>
    </w:p>
    <w:p w14:paraId="72355F23" w14:textId="055B965E" w:rsidR="00423154" w:rsidRDefault="00C12AAA" w:rsidP="00423154">
      <w:pPr>
        <w:pStyle w:val="NormalWeb"/>
        <w:ind w:firstLine="708"/>
        <w:jc w:val="both"/>
        <w:rPr>
          <w:rFonts w:ascii="Palatino" w:hAnsi="Palatino"/>
          <w:sz w:val="22"/>
          <w:szCs w:val="22"/>
        </w:rPr>
      </w:pPr>
      <w:r w:rsidRPr="00C12AAA">
        <w:rPr>
          <w:rFonts w:ascii="Palatino" w:hAnsi="Palatino"/>
          <w:sz w:val="22"/>
          <w:szCs w:val="22"/>
        </w:rPr>
        <w:t>La bibliographie consacrée à l’étude des mèmes a montré que ces contenus numériques, composés d’une image, d’une vidéo, d’un texte ou d’une combinaison de plusieurs de ces éléments, remplissent des fonctions sociales de grande envergure</w:t>
      </w:r>
      <w:r w:rsidR="007115B4">
        <w:rPr>
          <w:rFonts w:ascii="Palatino" w:hAnsi="Palatino"/>
          <w:sz w:val="22"/>
          <w:szCs w:val="22"/>
        </w:rPr>
        <w:t> </w:t>
      </w:r>
      <w:r w:rsidRPr="00C12AAA">
        <w:rPr>
          <w:rFonts w:ascii="Palatino" w:hAnsi="Palatino"/>
          <w:sz w:val="22"/>
          <w:szCs w:val="22"/>
        </w:rPr>
        <w:t>: ils articulent le discours public, reflètent et diffusent certains courants d’opinion (Shifman, 2014 dans Ruíz Martínez, 2018</w:t>
      </w:r>
      <w:r w:rsidR="00446F62">
        <w:rPr>
          <w:rFonts w:ascii="Palatino" w:hAnsi="Palatino"/>
          <w:sz w:val="22"/>
          <w:szCs w:val="22"/>
        </w:rPr>
        <w:t> </w:t>
      </w:r>
      <w:r w:rsidRPr="00C12AAA">
        <w:rPr>
          <w:rFonts w:ascii="Palatino" w:hAnsi="Palatino"/>
          <w:sz w:val="22"/>
          <w:szCs w:val="22"/>
        </w:rPr>
        <w:t>: 996), alimentent le débat politique public (Ruíz Martínez, 2018) ou servent de mécanismes de marketing numérique (Doñate-Ventura, Galán-Cubillo et Marzal-Felici, 2024).</w:t>
      </w:r>
    </w:p>
    <w:p w14:paraId="18E1BD75" w14:textId="3F1FAEE3" w:rsidR="005D43EA" w:rsidRPr="00774782" w:rsidRDefault="00C12AAA" w:rsidP="00774782">
      <w:pPr>
        <w:pStyle w:val="NormalWeb"/>
        <w:ind w:firstLine="708"/>
        <w:jc w:val="both"/>
        <w:rPr>
          <w:rFonts w:ascii="Palatino" w:hAnsi="Palatino"/>
          <w:sz w:val="22"/>
          <w:szCs w:val="22"/>
        </w:rPr>
      </w:pPr>
      <w:r w:rsidRPr="00C12AAA">
        <w:rPr>
          <w:rFonts w:ascii="Palatino" w:hAnsi="Palatino"/>
          <w:sz w:val="22"/>
          <w:szCs w:val="22"/>
        </w:rPr>
        <w:t xml:space="preserve">L'humour est l'un des moyens les plus efficaces par lesquels les mèmes parviennent à remplir ces fonctions (Mancera et Rueda, 2026). L'objectif de cette communication est d’analyser la construction sémantique qui sous-tend le mécanisme humoristique de certains mèmes. À partir d’outils d’analyse tirés de la théorie des stéréotypes de Jean-Claude Anscombre (2001), l’hypothèse qui sera avancée est que les mèmes font opérer un processus de détournement d’un </w:t>
      </w:r>
      <w:r w:rsidRPr="00C12AAA">
        <w:rPr>
          <w:rFonts w:ascii="Palatino" w:hAnsi="Palatino"/>
          <w:i/>
          <w:iCs/>
          <w:sz w:val="22"/>
          <w:szCs w:val="22"/>
        </w:rPr>
        <w:t>savoir partagé</w:t>
      </w:r>
      <w:r w:rsidRPr="00C12AAA">
        <w:rPr>
          <w:rFonts w:ascii="Palatino" w:hAnsi="Palatino"/>
          <w:sz w:val="22"/>
          <w:szCs w:val="22"/>
        </w:rPr>
        <w:t>, celui-ci étant compris comme un principe commun invoqué par une voix collective ou anonyme (un «</w:t>
      </w:r>
      <w:r w:rsidR="00446F62">
        <w:rPr>
          <w:rFonts w:ascii="Palatino" w:hAnsi="Palatino"/>
          <w:sz w:val="22"/>
          <w:szCs w:val="22"/>
        </w:rPr>
        <w:t> </w:t>
      </w:r>
      <w:r w:rsidRPr="00C12AAA">
        <w:rPr>
          <w:rFonts w:ascii="Palatino" w:hAnsi="Palatino"/>
          <w:sz w:val="22"/>
          <w:szCs w:val="22"/>
        </w:rPr>
        <w:t>ON-locuteur</w:t>
      </w:r>
      <w:r w:rsidR="00446F62">
        <w:rPr>
          <w:rFonts w:ascii="Palatino" w:hAnsi="Palatino"/>
          <w:sz w:val="22"/>
          <w:szCs w:val="22"/>
        </w:rPr>
        <w:t> </w:t>
      </w:r>
      <w:r w:rsidRPr="00C12AAA">
        <w:rPr>
          <w:rFonts w:ascii="Palatino" w:hAnsi="Palatino"/>
          <w:sz w:val="22"/>
          <w:szCs w:val="22"/>
        </w:rPr>
        <w:t>» selon les termes d’Anscombre, 2005) et présent dans le patrimoine linguistique d’une communauté linguistique.</w:t>
      </w:r>
      <w:r w:rsidR="00423154">
        <w:rPr>
          <w:rFonts w:ascii="Palatino" w:hAnsi="Palatino"/>
          <w:sz w:val="22"/>
          <w:szCs w:val="22"/>
        </w:rPr>
        <w:t xml:space="preserve"> </w:t>
      </w:r>
      <w:r w:rsidR="00253F89" w:rsidRPr="00C12AAA">
        <w:rPr>
          <w:rFonts w:ascii="Palatino" w:hAnsi="Palatino"/>
          <w:sz w:val="22"/>
          <w:szCs w:val="22"/>
          <w:lang w:val="fr-FR"/>
        </w:rPr>
        <w:t xml:space="preserve">Par exemple, dans la création d'un mème comme (1), </w:t>
      </w:r>
      <w:r w:rsidR="00DD6828" w:rsidRPr="00C12AAA">
        <w:rPr>
          <w:rFonts w:ascii="Palatino" w:hAnsi="Palatino"/>
          <w:sz w:val="22"/>
          <w:szCs w:val="22"/>
          <w:lang w:val="fr-FR"/>
        </w:rPr>
        <w:t>on observe le détournement d’un proverbe très connu dans la communauté linguistique hispanophone</w:t>
      </w:r>
      <w:r w:rsidR="0004175A" w:rsidRPr="00C12AAA">
        <w:rPr>
          <w:rFonts w:ascii="Palatino" w:hAnsi="Palatino"/>
          <w:sz w:val="22"/>
          <w:szCs w:val="22"/>
          <w:lang w:val="fr-FR"/>
        </w:rPr>
        <w:t>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5D43EA" w14:paraId="7C8F28D4" w14:textId="77777777" w:rsidTr="0061677D">
        <w:tc>
          <w:tcPr>
            <w:tcW w:w="9016" w:type="dxa"/>
          </w:tcPr>
          <w:p w14:paraId="3BC12AAE" w14:textId="140D1E95" w:rsidR="005D43EA" w:rsidRDefault="005D43EA" w:rsidP="00253F89">
            <w:pPr>
              <w:jc w:val="center"/>
              <w:rPr>
                <w:lang w:val="es-ES_tradnl"/>
              </w:rPr>
            </w:pPr>
            <w:r>
              <w:fldChar w:fldCharType="begin"/>
            </w:r>
            <w:r>
              <w:instrText xml:space="preserve"> INCLUDEPICTURE "https://statics.memondo.com/p/99/ccs/2026/06/CC_2836121_b7034dbdc4334760b9eed6588059e4fe_meme_otros_lo_tengo_comprobado.jpg?cb=8462847" \* MERGEFORMATINET </w:instrText>
            </w:r>
            <w:r>
              <w:fldChar w:fldCharType="separate"/>
            </w:r>
            <w:r>
              <w:rPr>
                <w:noProof/>
                <w:lang w:val="fr-FR" w:eastAsia="fr-FR"/>
              </w:rPr>
              <w:drawing>
                <wp:inline distT="0" distB="0" distL="0" distR="0" wp14:anchorId="565B0761" wp14:editId="2179B474">
                  <wp:extent cx="1620000" cy="1587513"/>
                  <wp:effectExtent l="0" t="0" r="5715" b="0"/>
                  <wp:docPr id="2072175931" name="Imagen 15" descr="Meme_otros - Lo tengo comprob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Meme_otros - Lo tengo comprobad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20000" cy="1587513"/>
                          </a:xfrm>
                          <a:prstGeom prst="rect">
                            <a:avLst/>
                          </a:prstGeom>
                          <a:noFill/>
                          <a:ln>
                            <a:noFill/>
                          </a:ln>
                        </pic:spPr>
                      </pic:pic>
                    </a:graphicData>
                  </a:graphic>
                </wp:inline>
              </w:drawing>
            </w:r>
            <w:r>
              <w:fldChar w:fldCharType="end"/>
            </w:r>
          </w:p>
        </w:tc>
      </w:tr>
    </w:tbl>
    <w:p w14:paraId="2DFF26A8" w14:textId="533C479F" w:rsidR="00253F89" w:rsidRDefault="00253F89" w:rsidP="00253F89">
      <w:pPr>
        <w:jc w:val="center"/>
        <w:rPr>
          <w:lang w:val="es-ES_tradnl"/>
        </w:rPr>
      </w:pPr>
    </w:p>
    <w:p w14:paraId="307AD1F3" w14:textId="1EB9E821" w:rsidR="00253F89" w:rsidRPr="008E0994" w:rsidRDefault="0004175A" w:rsidP="007B25A6">
      <w:pPr>
        <w:jc w:val="both"/>
        <w:rPr>
          <w:sz w:val="22"/>
          <w:szCs w:val="22"/>
          <w:lang w:val="fr-FR"/>
        </w:rPr>
      </w:pPr>
      <w:r w:rsidRPr="008E0994">
        <w:rPr>
          <w:sz w:val="22"/>
          <w:szCs w:val="22"/>
          <w:lang w:val="fr-FR"/>
        </w:rPr>
        <w:t xml:space="preserve">Le texte présent dans (1) constitue un détournement du proverbe espagnol </w:t>
      </w:r>
      <w:r w:rsidRPr="008E0994">
        <w:rPr>
          <w:i/>
          <w:iCs/>
          <w:sz w:val="22"/>
          <w:szCs w:val="22"/>
          <w:lang w:val="fr-FR"/>
        </w:rPr>
        <w:t xml:space="preserve">Al que </w:t>
      </w:r>
      <w:proofErr w:type="spellStart"/>
      <w:r w:rsidRPr="008E0994">
        <w:rPr>
          <w:i/>
          <w:iCs/>
          <w:sz w:val="22"/>
          <w:szCs w:val="22"/>
          <w:lang w:val="fr-FR"/>
        </w:rPr>
        <w:t>madruga</w:t>
      </w:r>
      <w:proofErr w:type="spellEnd"/>
      <w:r w:rsidRPr="008E0994">
        <w:rPr>
          <w:i/>
          <w:iCs/>
          <w:sz w:val="22"/>
          <w:szCs w:val="22"/>
          <w:lang w:val="fr-FR"/>
        </w:rPr>
        <w:t xml:space="preserve">, </w:t>
      </w:r>
      <w:proofErr w:type="spellStart"/>
      <w:r w:rsidRPr="008E0994">
        <w:rPr>
          <w:i/>
          <w:iCs/>
          <w:sz w:val="22"/>
          <w:szCs w:val="22"/>
          <w:lang w:val="fr-FR"/>
        </w:rPr>
        <w:t>Dios</w:t>
      </w:r>
      <w:proofErr w:type="spellEnd"/>
      <w:r w:rsidRPr="008E0994">
        <w:rPr>
          <w:i/>
          <w:iCs/>
          <w:sz w:val="22"/>
          <w:szCs w:val="22"/>
          <w:lang w:val="fr-FR"/>
        </w:rPr>
        <w:t xml:space="preserve"> le </w:t>
      </w:r>
      <w:proofErr w:type="spellStart"/>
      <w:r w:rsidRPr="008E0994">
        <w:rPr>
          <w:i/>
          <w:iCs/>
          <w:sz w:val="22"/>
          <w:szCs w:val="22"/>
          <w:lang w:val="fr-FR"/>
        </w:rPr>
        <w:t>ayuda</w:t>
      </w:r>
      <w:proofErr w:type="spellEnd"/>
      <w:r w:rsidRPr="008E0994">
        <w:rPr>
          <w:i/>
          <w:iCs/>
          <w:sz w:val="22"/>
          <w:szCs w:val="22"/>
          <w:lang w:val="fr-FR"/>
        </w:rPr>
        <w:t xml:space="preserve"> (</w:t>
      </w:r>
      <w:r w:rsidR="00614C4F" w:rsidRPr="008E0994">
        <w:rPr>
          <w:i/>
          <w:iCs/>
          <w:sz w:val="22"/>
          <w:szCs w:val="22"/>
          <w:lang w:val="fr-FR"/>
        </w:rPr>
        <w:t>Celui qui se lève tôt reçoit l’aide de Dieu</w:t>
      </w:r>
      <w:r w:rsidR="008F6D8C" w:rsidRPr="00AD1ECE">
        <w:rPr>
          <w:rStyle w:val="Appelnotedebasdep"/>
        </w:rPr>
        <w:footnoteReference w:id="1"/>
      </w:r>
      <w:r w:rsidRPr="008E0994">
        <w:rPr>
          <w:i/>
          <w:iCs/>
          <w:sz w:val="22"/>
          <w:szCs w:val="22"/>
          <w:lang w:val="fr-FR"/>
        </w:rPr>
        <w:t xml:space="preserve">). </w:t>
      </w:r>
      <w:r w:rsidR="00253F89" w:rsidRPr="008E0994">
        <w:rPr>
          <w:sz w:val="22"/>
          <w:szCs w:val="22"/>
          <w:lang w:val="fr-FR"/>
        </w:rPr>
        <w:t>En principe, le nouveau proverbe</w:t>
      </w:r>
      <w:r w:rsidR="00DD6828" w:rsidRPr="008E0994">
        <w:rPr>
          <w:sz w:val="22"/>
          <w:szCs w:val="22"/>
          <w:lang w:val="fr-FR"/>
        </w:rPr>
        <w:t xml:space="preserve">, </w:t>
      </w:r>
      <w:r w:rsidR="00DD6828" w:rsidRPr="008E0994">
        <w:rPr>
          <w:i/>
          <w:iCs/>
          <w:sz w:val="22"/>
          <w:szCs w:val="22"/>
          <w:lang w:val="fr-FR"/>
        </w:rPr>
        <w:t xml:space="preserve">El que </w:t>
      </w:r>
      <w:proofErr w:type="spellStart"/>
      <w:r w:rsidR="00DD6828" w:rsidRPr="008E0994">
        <w:rPr>
          <w:i/>
          <w:iCs/>
          <w:sz w:val="22"/>
          <w:szCs w:val="22"/>
          <w:lang w:val="fr-FR"/>
        </w:rPr>
        <w:t>madruga</w:t>
      </w:r>
      <w:proofErr w:type="spellEnd"/>
      <w:r w:rsidR="00DD6828" w:rsidRPr="008E0994">
        <w:rPr>
          <w:i/>
          <w:iCs/>
          <w:sz w:val="22"/>
          <w:szCs w:val="22"/>
          <w:lang w:val="fr-FR"/>
        </w:rPr>
        <w:t xml:space="preserve">, </w:t>
      </w:r>
      <w:proofErr w:type="spellStart"/>
      <w:r w:rsidR="00DD6828" w:rsidRPr="008E0994">
        <w:rPr>
          <w:i/>
          <w:iCs/>
          <w:sz w:val="22"/>
          <w:szCs w:val="22"/>
          <w:lang w:val="fr-FR"/>
        </w:rPr>
        <w:t>enloquece</w:t>
      </w:r>
      <w:proofErr w:type="spellEnd"/>
      <w:r w:rsidR="00DD6828" w:rsidRPr="008E0994">
        <w:rPr>
          <w:i/>
          <w:iCs/>
          <w:sz w:val="22"/>
          <w:szCs w:val="22"/>
          <w:lang w:val="fr-FR"/>
        </w:rPr>
        <w:t xml:space="preserve"> </w:t>
      </w:r>
      <w:proofErr w:type="spellStart"/>
      <w:r w:rsidR="00DD6828" w:rsidRPr="008E0994">
        <w:rPr>
          <w:i/>
          <w:iCs/>
          <w:sz w:val="22"/>
          <w:szCs w:val="22"/>
          <w:lang w:val="fr-FR"/>
        </w:rPr>
        <w:t>desde</w:t>
      </w:r>
      <w:proofErr w:type="spellEnd"/>
      <w:r w:rsidR="00DD6828" w:rsidRPr="008E0994">
        <w:rPr>
          <w:i/>
          <w:iCs/>
          <w:sz w:val="22"/>
          <w:szCs w:val="22"/>
          <w:lang w:val="fr-FR"/>
        </w:rPr>
        <w:t xml:space="preserve"> </w:t>
      </w:r>
      <w:proofErr w:type="spellStart"/>
      <w:r w:rsidR="00DD6828" w:rsidRPr="008E0994">
        <w:rPr>
          <w:i/>
          <w:iCs/>
          <w:sz w:val="22"/>
          <w:szCs w:val="22"/>
          <w:lang w:val="fr-FR"/>
        </w:rPr>
        <w:t>temprano</w:t>
      </w:r>
      <w:proofErr w:type="spellEnd"/>
      <w:r w:rsidR="00DD6828" w:rsidRPr="008E0994">
        <w:rPr>
          <w:i/>
          <w:iCs/>
          <w:sz w:val="22"/>
          <w:szCs w:val="22"/>
          <w:lang w:val="fr-FR"/>
        </w:rPr>
        <w:t xml:space="preserve">, (Celui qui se lève tôt devient fou </w:t>
      </w:r>
      <w:r w:rsidRPr="008E0994">
        <w:rPr>
          <w:i/>
          <w:iCs/>
          <w:sz w:val="22"/>
          <w:szCs w:val="22"/>
          <w:lang w:val="fr-FR"/>
        </w:rPr>
        <w:t>de bonne heure</w:t>
      </w:r>
      <w:r w:rsidRPr="008E0994">
        <w:rPr>
          <w:sz w:val="22"/>
          <w:szCs w:val="22"/>
          <w:lang w:val="fr-FR"/>
        </w:rPr>
        <w:t>)</w:t>
      </w:r>
      <w:r w:rsidR="00253F89" w:rsidRPr="008E0994">
        <w:rPr>
          <w:sz w:val="22"/>
          <w:szCs w:val="22"/>
          <w:lang w:val="fr-FR"/>
        </w:rPr>
        <w:t xml:space="preserve"> ne devrait pas avoir de sens ; cependant, </w:t>
      </w:r>
      <w:r w:rsidRPr="008E0994">
        <w:rPr>
          <w:sz w:val="22"/>
          <w:szCs w:val="22"/>
          <w:lang w:val="fr-FR"/>
        </w:rPr>
        <w:t xml:space="preserve">il s’agit d’un énoncé qui reprend </w:t>
      </w:r>
      <w:r w:rsidR="00205E89" w:rsidRPr="008E0994">
        <w:rPr>
          <w:sz w:val="22"/>
          <w:szCs w:val="22"/>
          <w:lang w:val="fr-FR"/>
        </w:rPr>
        <w:t>un</w:t>
      </w:r>
      <w:r w:rsidRPr="008E0994">
        <w:rPr>
          <w:sz w:val="22"/>
          <w:szCs w:val="22"/>
          <w:lang w:val="fr-FR"/>
        </w:rPr>
        <w:t xml:space="preserve"> </w:t>
      </w:r>
      <w:r w:rsidRPr="008E0994">
        <w:rPr>
          <w:i/>
          <w:iCs/>
          <w:sz w:val="22"/>
          <w:szCs w:val="22"/>
          <w:lang w:val="fr-FR"/>
        </w:rPr>
        <w:t>moule formel</w:t>
      </w:r>
      <w:r w:rsidR="007B25A6" w:rsidRPr="008E0994">
        <w:rPr>
          <w:sz w:val="22"/>
          <w:szCs w:val="22"/>
          <w:lang w:val="fr-FR"/>
        </w:rPr>
        <w:t xml:space="preserve"> </w:t>
      </w:r>
      <w:r w:rsidR="00205E89" w:rsidRPr="008E0994">
        <w:rPr>
          <w:sz w:val="22"/>
          <w:szCs w:val="22"/>
          <w:lang w:val="fr-FR"/>
        </w:rPr>
        <w:t>très productif dans la création de proverbes en espagnol</w:t>
      </w:r>
      <w:r w:rsidR="0061677D" w:rsidRPr="008E0994">
        <w:rPr>
          <w:sz w:val="22"/>
          <w:szCs w:val="22"/>
          <w:lang w:val="fr-FR"/>
        </w:rPr>
        <w:t> </w:t>
      </w:r>
      <w:r w:rsidR="0034222F" w:rsidRPr="008E0994">
        <w:rPr>
          <w:sz w:val="22"/>
          <w:szCs w:val="22"/>
          <w:lang w:val="fr-FR"/>
        </w:rPr>
        <w:t>: &lt;El</w:t>
      </w:r>
      <w:r w:rsidR="00205E89" w:rsidRPr="008E0994">
        <w:rPr>
          <w:sz w:val="22"/>
          <w:szCs w:val="22"/>
          <w:lang w:val="fr-FR"/>
        </w:rPr>
        <w:t>/Al</w:t>
      </w:r>
      <w:r w:rsidR="0034222F" w:rsidRPr="008E0994">
        <w:rPr>
          <w:sz w:val="22"/>
          <w:szCs w:val="22"/>
          <w:lang w:val="fr-FR"/>
        </w:rPr>
        <w:t xml:space="preserve"> que X, Y&gt; (&lt;Celui qui X, Y&gt;)</w:t>
      </w:r>
      <w:r w:rsidR="00205E89" w:rsidRPr="00AD1ECE">
        <w:rPr>
          <w:rStyle w:val="Appelnotedebasdep"/>
        </w:rPr>
        <w:footnoteReference w:id="2"/>
      </w:r>
      <w:r w:rsidR="007B25A6" w:rsidRPr="008E0994">
        <w:rPr>
          <w:sz w:val="22"/>
          <w:szCs w:val="22"/>
          <w:lang w:val="fr-FR"/>
        </w:rPr>
        <w:t>. G</w:t>
      </w:r>
      <w:r w:rsidR="00253F89" w:rsidRPr="008E0994">
        <w:rPr>
          <w:sz w:val="22"/>
          <w:szCs w:val="22"/>
          <w:lang w:val="fr-FR"/>
        </w:rPr>
        <w:t>râce au maintien d</w:t>
      </w:r>
      <w:r w:rsidR="001921D4" w:rsidRPr="008E0994">
        <w:rPr>
          <w:sz w:val="22"/>
          <w:szCs w:val="22"/>
          <w:lang w:val="fr-FR"/>
        </w:rPr>
        <w:t>e ce</w:t>
      </w:r>
      <w:r w:rsidR="00253F89" w:rsidRPr="008E0994">
        <w:rPr>
          <w:sz w:val="22"/>
          <w:szCs w:val="22"/>
          <w:lang w:val="fr-FR"/>
        </w:rPr>
        <w:t xml:space="preserve"> </w:t>
      </w:r>
      <w:r w:rsidR="00253F89" w:rsidRPr="008E0994">
        <w:rPr>
          <w:i/>
          <w:iCs/>
          <w:sz w:val="22"/>
          <w:szCs w:val="22"/>
          <w:lang w:val="fr-FR"/>
        </w:rPr>
        <w:t>moule formel</w:t>
      </w:r>
      <w:r w:rsidR="001921D4" w:rsidRPr="008E0994">
        <w:rPr>
          <w:sz w:val="22"/>
          <w:szCs w:val="22"/>
          <w:lang w:val="fr-FR"/>
        </w:rPr>
        <w:t xml:space="preserve"> (</w:t>
      </w:r>
      <w:r w:rsidR="007B25A6" w:rsidRPr="008E0994">
        <w:rPr>
          <w:sz w:val="22"/>
          <w:szCs w:val="22"/>
          <w:lang w:val="fr-FR"/>
        </w:rPr>
        <w:t>qui cons</w:t>
      </w:r>
      <w:r w:rsidR="001921D4" w:rsidRPr="008E0994">
        <w:rPr>
          <w:sz w:val="22"/>
          <w:szCs w:val="22"/>
          <w:lang w:val="fr-FR"/>
        </w:rPr>
        <w:t>titue</w:t>
      </w:r>
      <w:r w:rsidR="007B25A6" w:rsidRPr="008E0994">
        <w:rPr>
          <w:sz w:val="22"/>
          <w:szCs w:val="22"/>
          <w:lang w:val="fr-FR"/>
        </w:rPr>
        <w:t xml:space="preserve"> la structure syntaxique de l’énoncé</w:t>
      </w:r>
      <w:r w:rsidR="001921D4" w:rsidRPr="008E0994">
        <w:rPr>
          <w:sz w:val="22"/>
          <w:szCs w:val="22"/>
          <w:lang w:val="fr-FR"/>
        </w:rPr>
        <w:t>)</w:t>
      </w:r>
      <w:r w:rsidR="007B25A6" w:rsidRPr="008E0994">
        <w:rPr>
          <w:sz w:val="22"/>
          <w:szCs w:val="22"/>
          <w:lang w:val="fr-FR"/>
        </w:rPr>
        <w:t xml:space="preserve">, </w:t>
      </w:r>
      <w:r w:rsidR="00253F89" w:rsidRPr="008E0994">
        <w:rPr>
          <w:sz w:val="22"/>
          <w:szCs w:val="22"/>
          <w:lang w:val="fr-FR"/>
        </w:rPr>
        <w:t xml:space="preserve">il se produit une transposition du </w:t>
      </w:r>
      <w:r w:rsidR="00253F89" w:rsidRPr="008E0994">
        <w:rPr>
          <w:i/>
          <w:iCs/>
          <w:sz w:val="22"/>
          <w:szCs w:val="22"/>
          <w:lang w:val="fr-FR"/>
        </w:rPr>
        <w:t>moule sémantique</w:t>
      </w:r>
      <w:r w:rsidR="001921D4" w:rsidRPr="008E0994">
        <w:rPr>
          <w:sz w:val="22"/>
          <w:szCs w:val="22"/>
          <w:lang w:val="fr-FR"/>
        </w:rPr>
        <w:t>, c’est-</w:t>
      </w:r>
      <w:r w:rsidR="00FF5113" w:rsidRPr="008E0994">
        <w:rPr>
          <w:sz w:val="22"/>
          <w:szCs w:val="22"/>
          <w:lang w:val="fr-FR"/>
        </w:rPr>
        <w:t>à</w:t>
      </w:r>
      <w:r w:rsidR="001921D4" w:rsidRPr="008E0994">
        <w:rPr>
          <w:sz w:val="22"/>
          <w:szCs w:val="22"/>
          <w:lang w:val="fr-FR"/>
        </w:rPr>
        <w:t xml:space="preserve">-dire du </w:t>
      </w:r>
      <w:r w:rsidR="00253F89" w:rsidRPr="008E0994">
        <w:rPr>
          <w:sz w:val="22"/>
          <w:szCs w:val="22"/>
          <w:lang w:val="fr-FR"/>
        </w:rPr>
        <w:t>«</w:t>
      </w:r>
      <w:r w:rsidR="0061677D" w:rsidRPr="008E0994">
        <w:rPr>
          <w:sz w:val="22"/>
          <w:szCs w:val="22"/>
          <w:lang w:val="fr-FR"/>
        </w:rPr>
        <w:t> </w:t>
      </w:r>
      <w:r w:rsidR="00253F89" w:rsidRPr="008E0994">
        <w:rPr>
          <w:sz w:val="22"/>
          <w:szCs w:val="22"/>
          <w:lang w:val="fr-FR"/>
        </w:rPr>
        <w:t>sens proverbial</w:t>
      </w:r>
      <w:r w:rsidR="0061677D" w:rsidRPr="008E0994">
        <w:rPr>
          <w:sz w:val="22"/>
          <w:szCs w:val="22"/>
          <w:lang w:val="fr-FR"/>
        </w:rPr>
        <w:t> </w:t>
      </w:r>
      <w:r w:rsidR="00253F89" w:rsidRPr="008E0994">
        <w:rPr>
          <w:sz w:val="22"/>
          <w:szCs w:val="22"/>
          <w:lang w:val="fr-FR"/>
        </w:rPr>
        <w:t>». Plusieurs auteurs (</w:t>
      </w:r>
      <w:proofErr w:type="spellStart"/>
      <w:r w:rsidR="00253F89" w:rsidRPr="008E0994">
        <w:rPr>
          <w:sz w:val="22"/>
          <w:szCs w:val="22"/>
          <w:lang w:val="fr-FR"/>
        </w:rPr>
        <w:t>Anscombre</w:t>
      </w:r>
      <w:proofErr w:type="spellEnd"/>
      <w:r w:rsidR="00DA0984">
        <w:rPr>
          <w:sz w:val="22"/>
          <w:szCs w:val="22"/>
          <w:lang w:val="fr-FR"/>
        </w:rPr>
        <w:t xml:space="preserve">, </w:t>
      </w:r>
      <w:r w:rsidR="00253F89" w:rsidRPr="008E0994">
        <w:rPr>
          <w:sz w:val="22"/>
          <w:szCs w:val="22"/>
          <w:lang w:val="fr-FR"/>
        </w:rPr>
        <w:t>1994</w:t>
      </w:r>
      <w:r w:rsidR="0061677D" w:rsidRPr="008E0994">
        <w:rPr>
          <w:sz w:val="22"/>
          <w:szCs w:val="22"/>
          <w:lang w:val="fr-FR"/>
        </w:rPr>
        <w:t> </w:t>
      </w:r>
      <w:r w:rsidR="00253F89" w:rsidRPr="008E0994">
        <w:rPr>
          <w:sz w:val="22"/>
          <w:szCs w:val="22"/>
          <w:lang w:val="fr-FR"/>
        </w:rPr>
        <w:t xml:space="preserve">; Gómez-Jordana, 2009) ont souligné que ce </w:t>
      </w:r>
      <w:r w:rsidR="00253F89" w:rsidRPr="008E0994">
        <w:rPr>
          <w:i/>
          <w:iCs/>
          <w:sz w:val="22"/>
          <w:szCs w:val="22"/>
          <w:lang w:val="fr-FR"/>
        </w:rPr>
        <w:t>moule sémantique</w:t>
      </w:r>
      <w:r w:rsidR="00253F89" w:rsidRPr="008E0994">
        <w:rPr>
          <w:sz w:val="22"/>
          <w:szCs w:val="22"/>
          <w:lang w:val="fr-FR"/>
        </w:rPr>
        <w:t xml:space="preserve"> consiste en </w:t>
      </w:r>
      <w:r w:rsidR="00253F89" w:rsidRPr="008E0994">
        <w:rPr>
          <w:sz w:val="22"/>
          <w:szCs w:val="22"/>
          <w:lang w:val="fr-FR"/>
        </w:rPr>
        <w:lastRenderedPageBreak/>
        <w:t xml:space="preserve">une structure sémantique qui aurait la forme &lt;P (être) argument pour Q&gt;. Partant de cette idée, nous postulerons que la compréhension du proverbe détourné de (1) est possible </w:t>
      </w:r>
      <w:r w:rsidR="00C12AAA">
        <w:rPr>
          <w:sz w:val="22"/>
          <w:szCs w:val="22"/>
          <w:lang w:val="fr-FR"/>
        </w:rPr>
        <w:t>parce que</w:t>
      </w:r>
      <w:r w:rsidR="00253F89" w:rsidRPr="008E0994">
        <w:rPr>
          <w:sz w:val="22"/>
          <w:szCs w:val="22"/>
          <w:lang w:val="fr-FR"/>
        </w:rPr>
        <w:t xml:space="preserve">, s'il y a transposition </w:t>
      </w:r>
      <w:r w:rsidR="007B25A6" w:rsidRPr="008E0994">
        <w:rPr>
          <w:sz w:val="22"/>
          <w:szCs w:val="22"/>
          <w:lang w:val="fr-FR"/>
        </w:rPr>
        <w:t>du moule formel</w:t>
      </w:r>
      <w:r w:rsidR="00253F89" w:rsidRPr="008E0994">
        <w:rPr>
          <w:sz w:val="22"/>
          <w:szCs w:val="22"/>
          <w:lang w:val="fr-FR"/>
        </w:rPr>
        <w:t xml:space="preserve">, il y a également transposition du moule sémantique implicite. Ainsi : </w:t>
      </w:r>
    </w:p>
    <w:p w14:paraId="3226FB26" w14:textId="77777777" w:rsidR="007B25A6" w:rsidRPr="007B25A6" w:rsidRDefault="007B25A6" w:rsidP="007B25A6">
      <w:pPr>
        <w:jc w:val="both"/>
        <w:rPr>
          <w:color w:val="EE0000"/>
          <w:lang w:val="fr-FR"/>
        </w:rPr>
      </w:pPr>
    </w:p>
    <w:tbl>
      <w:tblPr>
        <w:tblStyle w:val="Grilledutableau"/>
        <w:tblW w:w="0" w:type="auto"/>
        <w:tblLook w:val="04A0" w:firstRow="1" w:lastRow="0" w:firstColumn="1" w:lastColumn="0" w:noHBand="0" w:noVBand="1"/>
      </w:tblPr>
      <w:tblGrid>
        <w:gridCol w:w="1242"/>
        <w:gridCol w:w="3773"/>
        <w:gridCol w:w="4001"/>
      </w:tblGrid>
      <w:tr w:rsidR="00614C4F" w14:paraId="080B5150" w14:textId="77777777" w:rsidTr="00B40E27">
        <w:tc>
          <w:tcPr>
            <w:tcW w:w="1242" w:type="dxa"/>
          </w:tcPr>
          <w:p w14:paraId="19257616" w14:textId="77777777" w:rsidR="00614C4F" w:rsidRPr="00C12AAA" w:rsidRDefault="00614C4F" w:rsidP="00691BD7">
            <w:pPr>
              <w:jc w:val="both"/>
              <w:rPr>
                <w:sz w:val="20"/>
                <w:szCs w:val="20"/>
                <w:lang w:val="fr-FR"/>
              </w:rPr>
            </w:pPr>
          </w:p>
        </w:tc>
        <w:tc>
          <w:tcPr>
            <w:tcW w:w="3773" w:type="dxa"/>
          </w:tcPr>
          <w:p w14:paraId="4D2FF96A" w14:textId="1A4AEF91" w:rsidR="00614C4F" w:rsidRPr="007B25A6" w:rsidRDefault="00614C4F" w:rsidP="00614C4F">
            <w:pPr>
              <w:jc w:val="center"/>
              <w:rPr>
                <w:sz w:val="20"/>
                <w:szCs w:val="20"/>
                <w:lang w:val="es-ES"/>
              </w:rPr>
            </w:pPr>
            <w:r>
              <w:rPr>
                <w:sz w:val="20"/>
                <w:szCs w:val="20"/>
                <w:lang w:val="es-ES"/>
              </w:rPr>
              <w:t>PROVERBE</w:t>
            </w:r>
          </w:p>
        </w:tc>
        <w:tc>
          <w:tcPr>
            <w:tcW w:w="4001" w:type="dxa"/>
          </w:tcPr>
          <w:p w14:paraId="44804607" w14:textId="1422629E" w:rsidR="00614C4F" w:rsidRPr="007B25A6" w:rsidRDefault="00614C4F" w:rsidP="00614C4F">
            <w:pPr>
              <w:jc w:val="center"/>
              <w:rPr>
                <w:sz w:val="20"/>
                <w:szCs w:val="20"/>
                <w:lang w:val="es-ES_tradnl"/>
              </w:rPr>
            </w:pPr>
            <w:r>
              <w:rPr>
                <w:sz w:val="20"/>
                <w:szCs w:val="20"/>
                <w:lang w:val="es-ES_tradnl"/>
              </w:rPr>
              <w:t>PROVERBE DÉTOURNÉ</w:t>
            </w:r>
          </w:p>
        </w:tc>
      </w:tr>
      <w:tr w:rsidR="00253F89" w14:paraId="11210272" w14:textId="77777777" w:rsidTr="00B40E27">
        <w:tc>
          <w:tcPr>
            <w:tcW w:w="1242" w:type="dxa"/>
          </w:tcPr>
          <w:p w14:paraId="72D525B9" w14:textId="77777777" w:rsidR="00253F89" w:rsidRPr="007B25A6" w:rsidRDefault="00253F89" w:rsidP="00691BD7">
            <w:pPr>
              <w:jc w:val="both"/>
              <w:rPr>
                <w:sz w:val="20"/>
                <w:szCs w:val="20"/>
                <w:lang w:val="es-ES_tradnl"/>
              </w:rPr>
            </w:pPr>
            <w:proofErr w:type="spellStart"/>
            <w:r w:rsidRPr="007B25A6">
              <w:rPr>
                <w:sz w:val="20"/>
                <w:szCs w:val="20"/>
                <w:lang w:val="es-ES_tradnl"/>
              </w:rPr>
              <w:t>Moule</w:t>
            </w:r>
            <w:proofErr w:type="spellEnd"/>
            <w:r w:rsidRPr="007B25A6">
              <w:rPr>
                <w:sz w:val="20"/>
                <w:szCs w:val="20"/>
                <w:lang w:val="es-ES_tradnl"/>
              </w:rPr>
              <w:t xml:space="preserve"> </w:t>
            </w:r>
            <w:proofErr w:type="spellStart"/>
            <w:r w:rsidRPr="007B25A6">
              <w:rPr>
                <w:sz w:val="20"/>
                <w:szCs w:val="20"/>
                <w:lang w:val="es-ES_tradnl"/>
              </w:rPr>
              <w:t>formel</w:t>
            </w:r>
            <w:proofErr w:type="spellEnd"/>
          </w:p>
        </w:tc>
        <w:tc>
          <w:tcPr>
            <w:tcW w:w="3773" w:type="dxa"/>
          </w:tcPr>
          <w:p w14:paraId="670FF8AB" w14:textId="0F6D7AE6" w:rsidR="007B25A6" w:rsidRPr="00B40E27" w:rsidRDefault="007B25A6" w:rsidP="00691BD7">
            <w:pPr>
              <w:jc w:val="both"/>
              <w:rPr>
                <w:sz w:val="20"/>
                <w:szCs w:val="20"/>
                <w:lang w:val="es-ES"/>
              </w:rPr>
            </w:pPr>
            <w:r w:rsidRPr="00B40E27">
              <w:rPr>
                <w:sz w:val="20"/>
                <w:szCs w:val="20"/>
                <w:lang w:val="es-ES"/>
              </w:rPr>
              <w:t>&lt;El/Al que X, Y&gt; (&lt;</w:t>
            </w:r>
            <w:proofErr w:type="spellStart"/>
            <w:r w:rsidRPr="00B40E27">
              <w:rPr>
                <w:sz w:val="20"/>
                <w:szCs w:val="20"/>
                <w:lang w:val="es-ES"/>
              </w:rPr>
              <w:t>Celui</w:t>
            </w:r>
            <w:proofErr w:type="spellEnd"/>
            <w:r w:rsidRPr="00B40E27">
              <w:rPr>
                <w:sz w:val="20"/>
                <w:szCs w:val="20"/>
                <w:lang w:val="es-ES"/>
              </w:rPr>
              <w:t xml:space="preserve"> </w:t>
            </w:r>
            <w:proofErr w:type="spellStart"/>
            <w:r w:rsidRPr="00B40E27">
              <w:rPr>
                <w:sz w:val="20"/>
                <w:szCs w:val="20"/>
                <w:lang w:val="es-ES"/>
              </w:rPr>
              <w:t>qui</w:t>
            </w:r>
            <w:proofErr w:type="spellEnd"/>
            <w:r w:rsidRPr="00B40E27">
              <w:rPr>
                <w:sz w:val="20"/>
                <w:szCs w:val="20"/>
                <w:lang w:val="es-ES"/>
              </w:rPr>
              <w:t xml:space="preserve"> X, Y&gt;)</w:t>
            </w:r>
            <w:r w:rsidR="00614C4F" w:rsidRPr="00B40E27">
              <w:rPr>
                <w:sz w:val="20"/>
                <w:szCs w:val="20"/>
                <w:lang w:val="es-ES"/>
              </w:rPr>
              <w:t xml:space="preserve"> </w:t>
            </w:r>
            <w:r w:rsidR="00614C4F" w:rsidRPr="00B40E27">
              <w:rPr>
                <w:sz w:val="20"/>
                <w:szCs w:val="20"/>
                <w:lang w:val="es-ES_tradnl"/>
              </w:rPr>
              <w:sym w:font="Wingdings" w:char="F0E0"/>
            </w:r>
          </w:p>
          <w:p w14:paraId="7615313A" w14:textId="2C539C36" w:rsidR="00253F89" w:rsidRPr="00B40E27" w:rsidRDefault="00253F89" w:rsidP="00691BD7">
            <w:pPr>
              <w:jc w:val="both"/>
              <w:rPr>
                <w:sz w:val="20"/>
                <w:szCs w:val="20"/>
                <w:lang w:val="es-ES_tradnl"/>
              </w:rPr>
            </w:pPr>
          </w:p>
        </w:tc>
        <w:tc>
          <w:tcPr>
            <w:tcW w:w="4001" w:type="dxa"/>
          </w:tcPr>
          <w:p w14:paraId="47E8CFC7" w14:textId="77777777" w:rsidR="00614C4F" w:rsidRPr="00B40E27" w:rsidRDefault="00614C4F" w:rsidP="00614C4F">
            <w:pPr>
              <w:jc w:val="both"/>
              <w:rPr>
                <w:sz w:val="20"/>
                <w:szCs w:val="20"/>
                <w:lang w:val="es-ES"/>
              </w:rPr>
            </w:pPr>
            <w:r w:rsidRPr="00B40E27">
              <w:rPr>
                <w:sz w:val="20"/>
                <w:szCs w:val="20"/>
                <w:lang w:val="es-ES"/>
              </w:rPr>
              <w:t>&lt;El/Al que X, Y&gt; (&lt;</w:t>
            </w:r>
            <w:proofErr w:type="spellStart"/>
            <w:r w:rsidRPr="00B40E27">
              <w:rPr>
                <w:sz w:val="20"/>
                <w:szCs w:val="20"/>
                <w:lang w:val="es-ES"/>
              </w:rPr>
              <w:t>Celui</w:t>
            </w:r>
            <w:proofErr w:type="spellEnd"/>
            <w:r w:rsidRPr="00B40E27">
              <w:rPr>
                <w:sz w:val="20"/>
                <w:szCs w:val="20"/>
                <w:lang w:val="es-ES"/>
              </w:rPr>
              <w:t xml:space="preserve"> </w:t>
            </w:r>
            <w:proofErr w:type="spellStart"/>
            <w:r w:rsidRPr="00B40E27">
              <w:rPr>
                <w:sz w:val="20"/>
                <w:szCs w:val="20"/>
                <w:lang w:val="es-ES"/>
              </w:rPr>
              <w:t>qui</w:t>
            </w:r>
            <w:proofErr w:type="spellEnd"/>
            <w:r w:rsidRPr="00B40E27">
              <w:rPr>
                <w:sz w:val="20"/>
                <w:szCs w:val="20"/>
                <w:lang w:val="es-ES"/>
              </w:rPr>
              <w:t xml:space="preserve"> X, Y&gt;) </w:t>
            </w:r>
            <w:r w:rsidRPr="00B40E27">
              <w:rPr>
                <w:sz w:val="20"/>
                <w:szCs w:val="20"/>
                <w:lang w:val="es-ES_tradnl"/>
              </w:rPr>
              <w:sym w:font="Wingdings" w:char="F0E0"/>
            </w:r>
          </w:p>
          <w:p w14:paraId="260E640D" w14:textId="1A251344" w:rsidR="00253F89" w:rsidRPr="00B40E27" w:rsidRDefault="00253F89" w:rsidP="00691BD7">
            <w:pPr>
              <w:jc w:val="both"/>
              <w:rPr>
                <w:sz w:val="20"/>
                <w:szCs w:val="20"/>
                <w:lang w:val="es-ES"/>
              </w:rPr>
            </w:pPr>
          </w:p>
        </w:tc>
      </w:tr>
      <w:tr w:rsidR="00253F89" w14:paraId="61E7A1EC" w14:textId="77777777" w:rsidTr="00B40E27">
        <w:tc>
          <w:tcPr>
            <w:tcW w:w="1242" w:type="dxa"/>
          </w:tcPr>
          <w:p w14:paraId="3A6779F9" w14:textId="44FDDAB3" w:rsidR="00253F89" w:rsidRPr="007B25A6" w:rsidRDefault="007B25A6" w:rsidP="00691BD7">
            <w:pPr>
              <w:jc w:val="both"/>
              <w:rPr>
                <w:sz w:val="20"/>
                <w:szCs w:val="20"/>
                <w:lang w:val="es-ES_tradnl"/>
              </w:rPr>
            </w:pPr>
            <w:proofErr w:type="spellStart"/>
            <w:r>
              <w:rPr>
                <w:sz w:val="20"/>
                <w:szCs w:val="20"/>
                <w:lang w:val="es-ES_tradnl"/>
              </w:rPr>
              <w:t>Énoncé</w:t>
            </w:r>
            <w:proofErr w:type="spellEnd"/>
          </w:p>
        </w:tc>
        <w:tc>
          <w:tcPr>
            <w:tcW w:w="3773" w:type="dxa"/>
          </w:tcPr>
          <w:p w14:paraId="2F1B4796" w14:textId="49F95909" w:rsidR="00B40E27" w:rsidRPr="00B40E27" w:rsidRDefault="007B25A6" w:rsidP="00691BD7">
            <w:pPr>
              <w:jc w:val="both"/>
              <w:rPr>
                <w:sz w:val="20"/>
                <w:szCs w:val="20"/>
                <w:lang w:val="es-ES_tradnl"/>
              </w:rPr>
            </w:pPr>
            <w:r w:rsidRPr="00B40E27">
              <w:rPr>
                <w:i/>
                <w:iCs/>
                <w:sz w:val="20"/>
                <w:szCs w:val="20"/>
                <w:lang w:val="es-ES_tradnl"/>
              </w:rPr>
              <w:t>A quien madruga, Dios le ayuda</w:t>
            </w:r>
            <w:r w:rsidRPr="00B40E27">
              <w:rPr>
                <w:sz w:val="20"/>
                <w:szCs w:val="20"/>
                <w:lang w:val="es-ES_tradnl"/>
              </w:rPr>
              <w:t xml:space="preserve"> </w:t>
            </w:r>
            <w:r w:rsidRPr="00B40E27">
              <w:rPr>
                <w:sz w:val="20"/>
                <w:szCs w:val="20"/>
                <w:lang w:val="es-ES_tradnl"/>
              </w:rPr>
              <w:sym w:font="Wingdings" w:char="F0E0"/>
            </w:r>
          </w:p>
          <w:p w14:paraId="2EBF25E4" w14:textId="06FD4F50" w:rsidR="00B40E27" w:rsidRPr="00B40E27" w:rsidRDefault="00B40E27" w:rsidP="00691BD7">
            <w:pPr>
              <w:jc w:val="both"/>
              <w:rPr>
                <w:sz w:val="20"/>
                <w:szCs w:val="20"/>
                <w:lang w:val="fr-FR"/>
              </w:rPr>
            </w:pPr>
            <w:r>
              <w:rPr>
                <w:i/>
                <w:iCs/>
                <w:sz w:val="20"/>
                <w:szCs w:val="20"/>
                <w:lang w:val="fr-FR"/>
              </w:rPr>
              <w:t>[‘</w:t>
            </w:r>
            <w:r w:rsidRPr="00B40E27">
              <w:rPr>
                <w:i/>
                <w:iCs/>
                <w:sz w:val="20"/>
                <w:szCs w:val="20"/>
                <w:lang w:val="fr-FR"/>
              </w:rPr>
              <w:t>Celui qui se lève tôt reçoit l’aide de Dieu</w:t>
            </w:r>
            <w:r>
              <w:rPr>
                <w:i/>
                <w:iCs/>
                <w:sz w:val="20"/>
                <w:szCs w:val="20"/>
                <w:lang w:val="fr-FR"/>
              </w:rPr>
              <w:t>’]</w:t>
            </w:r>
          </w:p>
        </w:tc>
        <w:tc>
          <w:tcPr>
            <w:tcW w:w="4001" w:type="dxa"/>
          </w:tcPr>
          <w:p w14:paraId="4A09C1EB" w14:textId="7DD985EF" w:rsidR="00B40E27" w:rsidRPr="00B40E27" w:rsidRDefault="007B25A6" w:rsidP="00691BD7">
            <w:pPr>
              <w:jc w:val="both"/>
              <w:rPr>
                <w:i/>
                <w:iCs/>
                <w:sz w:val="20"/>
                <w:szCs w:val="20"/>
                <w:lang w:val="es-ES_tradnl"/>
              </w:rPr>
            </w:pPr>
            <w:r w:rsidRPr="00B40E27">
              <w:rPr>
                <w:i/>
                <w:iCs/>
                <w:sz w:val="20"/>
                <w:szCs w:val="20"/>
                <w:lang w:val="es-ES_tradnl"/>
              </w:rPr>
              <w:t>El que madruga, enloquece desde temprano</w:t>
            </w:r>
          </w:p>
          <w:p w14:paraId="761D6CE6" w14:textId="7113FA0A" w:rsidR="00B40E27" w:rsidRPr="00B40E27" w:rsidRDefault="00B40E27" w:rsidP="00691BD7">
            <w:pPr>
              <w:jc w:val="both"/>
              <w:rPr>
                <w:sz w:val="20"/>
                <w:szCs w:val="20"/>
                <w:lang w:val="fr-FR"/>
              </w:rPr>
            </w:pPr>
            <w:r>
              <w:rPr>
                <w:i/>
                <w:iCs/>
                <w:sz w:val="20"/>
                <w:szCs w:val="20"/>
                <w:lang w:val="fr-FR"/>
              </w:rPr>
              <w:t>[‘</w:t>
            </w:r>
            <w:r w:rsidRPr="00B40E27">
              <w:rPr>
                <w:i/>
                <w:iCs/>
                <w:sz w:val="20"/>
                <w:szCs w:val="20"/>
                <w:lang w:val="fr-FR"/>
              </w:rPr>
              <w:t>Celui qui se lève tôt devient fou de bonne heure</w:t>
            </w:r>
            <w:r>
              <w:rPr>
                <w:i/>
                <w:iCs/>
                <w:sz w:val="20"/>
                <w:szCs w:val="20"/>
                <w:lang w:val="fr-FR"/>
              </w:rPr>
              <w:t>’]</w:t>
            </w:r>
          </w:p>
        </w:tc>
      </w:tr>
      <w:tr w:rsidR="00614C4F" w14:paraId="076A7701" w14:textId="77777777" w:rsidTr="00B40E27">
        <w:tc>
          <w:tcPr>
            <w:tcW w:w="1242" w:type="dxa"/>
          </w:tcPr>
          <w:p w14:paraId="4C3EA418" w14:textId="0FEA4B9A" w:rsidR="00614C4F" w:rsidRPr="007B25A6" w:rsidRDefault="00614C4F" w:rsidP="00614C4F">
            <w:pPr>
              <w:jc w:val="both"/>
              <w:rPr>
                <w:sz w:val="20"/>
                <w:szCs w:val="20"/>
                <w:lang w:val="es-ES_tradnl"/>
              </w:rPr>
            </w:pPr>
            <w:proofErr w:type="spellStart"/>
            <w:r>
              <w:rPr>
                <w:sz w:val="20"/>
                <w:szCs w:val="20"/>
                <w:lang w:val="es-ES_tradnl"/>
              </w:rPr>
              <w:t>Moule</w:t>
            </w:r>
            <w:proofErr w:type="spellEnd"/>
            <w:r>
              <w:rPr>
                <w:sz w:val="20"/>
                <w:szCs w:val="20"/>
                <w:lang w:val="es-ES_tradnl"/>
              </w:rPr>
              <w:t xml:space="preserve"> </w:t>
            </w:r>
            <w:proofErr w:type="spellStart"/>
            <w:r>
              <w:rPr>
                <w:sz w:val="20"/>
                <w:szCs w:val="20"/>
                <w:lang w:val="es-ES_tradnl"/>
              </w:rPr>
              <w:t>sémantique</w:t>
            </w:r>
            <w:proofErr w:type="spellEnd"/>
            <w:r>
              <w:rPr>
                <w:sz w:val="20"/>
                <w:szCs w:val="20"/>
                <w:lang w:val="es-ES_tradnl"/>
              </w:rPr>
              <w:t xml:space="preserve"> (</w:t>
            </w:r>
            <w:proofErr w:type="spellStart"/>
            <w:r w:rsidRPr="007B25A6">
              <w:rPr>
                <w:sz w:val="20"/>
                <w:szCs w:val="20"/>
                <w:lang w:val="es-ES_tradnl"/>
              </w:rPr>
              <w:t>Sens</w:t>
            </w:r>
            <w:proofErr w:type="spellEnd"/>
            <w:r w:rsidRPr="007B25A6">
              <w:rPr>
                <w:sz w:val="20"/>
                <w:szCs w:val="20"/>
                <w:lang w:val="es-ES_tradnl"/>
              </w:rPr>
              <w:t xml:space="preserve"> proverbial</w:t>
            </w:r>
            <w:r>
              <w:rPr>
                <w:sz w:val="20"/>
                <w:szCs w:val="20"/>
                <w:lang w:val="es-ES_tradnl"/>
              </w:rPr>
              <w:t>)</w:t>
            </w:r>
          </w:p>
        </w:tc>
        <w:tc>
          <w:tcPr>
            <w:tcW w:w="3773" w:type="dxa"/>
          </w:tcPr>
          <w:p w14:paraId="6BF44A62" w14:textId="1CF40F99" w:rsidR="00B40E27" w:rsidRDefault="00614C4F" w:rsidP="00614C4F">
            <w:pPr>
              <w:jc w:val="both"/>
              <w:rPr>
                <w:sz w:val="20"/>
                <w:szCs w:val="20"/>
                <w:lang w:val="es-ES_tradnl"/>
              </w:rPr>
            </w:pPr>
            <w:r w:rsidRPr="004A25A8">
              <w:rPr>
                <w:i/>
                <w:iCs/>
                <w:sz w:val="20"/>
                <w:szCs w:val="20"/>
                <w:lang w:val="es-ES_tradnl"/>
              </w:rPr>
              <w:t>Madrugar</w:t>
            </w:r>
            <w:r>
              <w:rPr>
                <w:sz w:val="20"/>
                <w:szCs w:val="20"/>
                <w:lang w:val="es-ES_tradnl"/>
              </w:rPr>
              <w:t xml:space="preserve"> (P) es un argumento para </w:t>
            </w:r>
            <w:r w:rsidRPr="004A25A8">
              <w:rPr>
                <w:i/>
                <w:iCs/>
                <w:sz w:val="20"/>
                <w:szCs w:val="20"/>
                <w:lang w:val="es-ES_tradnl"/>
              </w:rPr>
              <w:t>Tener un día propicio</w:t>
            </w:r>
            <w:r>
              <w:rPr>
                <w:sz w:val="20"/>
                <w:szCs w:val="20"/>
                <w:lang w:val="es-ES_tradnl"/>
              </w:rPr>
              <w:t xml:space="preserve"> (Q)</w:t>
            </w:r>
            <w:r w:rsidRPr="007B25A6">
              <w:rPr>
                <w:sz w:val="20"/>
                <w:szCs w:val="20"/>
                <w:lang w:val="es-ES_tradnl"/>
              </w:rPr>
              <w:t xml:space="preserve"> </w:t>
            </w:r>
            <w:r w:rsidRPr="007B25A6">
              <w:rPr>
                <w:sz w:val="20"/>
                <w:szCs w:val="20"/>
                <w:lang w:val="es-ES_tradnl"/>
              </w:rPr>
              <w:sym w:font="Wingdings" w:char="F0E0"/>
            </w:r>
          </w:p>
          <w:p w14:paraId="1A2A0E34" w14:textId="36247E2C" w:rsidR="00B40E27" w:rsidRPr="00B40E27" w:rsidRDefault="00B40E27" w:rsidP="00614C4F">
            <w:pPr>
              <w:jc w:val="both"/>
              <w:rPr>
                <w:sz w:val="20"/>
                <w:szCs w:val="20"/>
                <w:lang w:val="fr-FR"/>
              </w:rPr>
            </w:pPr>
            <w:r>
              <w:rPr>
                <w:sz w:val="20"/>
                <w:szCs w:val="20"/>
                <w:lang w:val="fr-FR"/>
              </w:rPr>
              <w:t>[</w:t>
            </w:r>
            <w:r w:rsidRPr="00B40E27">
              <w:rPr>
                <w:i/>
                <w:iCs/>
                <w:sz w:val="20"/>
                <w:szCs w:val="20"/>
                <w:lang w:val="fr-FR"/>
              </w:rPr>
              <w:t>Se lever tôt</w:t>
            </w:r>
            <w:r w:rsidRPr="00B40E27">
              <w:rPr>
                <w:sz w:val="20"/>
                <w:szCs w:val="20"/>
                <w:lang w:val="fr-FR"/>
              </w:rPr>
              <w:t xml:space="preserve"> </w:t>
            </w:r>
            <w:r>
              <w:rPr>
                <w:sz w:val="20"/>
                <w:szCs w:val="20"/>
                <w:lang w:val="fr-FR"/>
              </w:rPr>
              <w:t xml:space="preserve">(P) </w:t>
            </w:r>
            <w:r w:rsidRPr="00B40E27">
              <w:rPr>
                <w:sz w:val="20"/>
                <w:szCs w:val="20"/>
                <w:lang w:val="fr-FR"/>
              </w:rPr>
              <w:t xml:space="preserve">est un argument </w:t>
            </w:r>
            <w:r>
              <w:rPr>
                <w:sz w:val="20"/>
                <w:szCs w:val="20"/>
                <w:lang w:val="fr-FR"/>
              </w:rPr>
              <w:t>pour</w:t>
            </w:r>
            <w:r w:rsidRPr="00B40E27">
              <w:rPr>
                <w:sz w:val="20"/>
                <w:szCs w:val="20"/>
                <w:lang w:val="fr-FR"/>
              </w:rPr>
              <w:t xml:space="preserve"> </w:t>
            </w:r>
            <w:r w:rsidRPr="00B40E27">
              <w:rPr>
                <w:i/>
                <w:iCs/>
                <w:sz w:val="20"/>
                <w:szCs w:val="20"/>
                <w:lang w:val="fr-FR"/>
              </w:rPr>
              <w:t>Avoir une journée réussie</w:t>
            </w:r>
            <w:r>
              <w:rPr>
                <w:sz w:val="20"/>
                <w:szCs w:val="20"/>
                <w:lang w:val="fr-FR"/>
              </w:rPr>
              <w:t xml:space="preserve"> (Q)]</w:t>
            </w:r>
          </w:p>
        </w:tc>
        <w:tc>
          <w:tcPr>
            <w:tcW w:w="4001" w:type="dxa"/>
          </w:tcPr>
          <w:p w14:paraId="617C7669" w14:textId="5A07181A" w:rsidR="00B40E27" w:rsidRDefault="00614C4F" w:rsidP="00614C4F">
            <w:pPr>
              <w:jc w:val="both"/>
              <w:rPr>
                <w:sz w:val="20"/>
                <w:szCs w:val="20"/>
                <w:lang w:val="es-ES_tradnl"/>
              </w:rPr>
            </w:pPr>
            <w:r w:rsidRPr="007B25A6">
              <w:rPr>
                <w:i/>
                <w:iCs/>
                <w:sz w:val="20"/>
                <w:szCs w:val="20"/>
                <w:lang w:val="es-ES_tradnl"/>
              </w:rPr>
              <w:t>Madrugar</w:t>
            </w:r>
            <w:r w:rsidRPr="007B25A6">
              <w:rPr>
                <w:sz w:val="20"/>
                <w:szCs w:val="20"/>
                <w:lang w:val="es-ES_tradnl"/>
              </w:rPr>
              <w:t xml:space="preserve"> (P) es un argumento para </w:t>
            </w:r>
            <w:r w:rsidRPr="00614C4F">
              <w:rPr>
                <w:i/>
                <w:iCs/>
                <w:sz w:val="20"/>
                <w:szCs w:val="20"/>
                <w:lang w:val="es-ES_tradnl"/>
              </w:rPr>
              <w:t>Enloquecer desde temprano</w:t>
            </w:r>
            <w:r>
              <w:rPr>
                <w:sz w:val="20"/>
                <w:szCs w:val="20"/>
                <w:lang w:val="es-ES_tradnl"/>
              </w:rPr>
              <w:t xml:space="preserve"> </w:t>
            </w:r>
            <w:r w:rsidRPr="007B25A6">
              <w:rPr>
                <w:sz w:val="20"/>
                <w:szCs w:val="20"/>
                <w:lang w:val="es-ES_tradnl"/>
              </w:rPr>
              <w:t>(Q)</w:t>
            </w:r>
          </w:p>
          <w:p w14:paraId="5A6FA06E" w14:textId="459FE4D4" w:rsidR="00614C4F" w:rsidRPr="00B40E27" w:rsidRDefault="00B40E27" w:rsidP="00614C4F">
            <w:pPr>
              <w:jc w:val="both"/>
              <w:rPr>
                <w:sz w:val="20"/>
                <w:szCs w:val="20"/>
                <w:lang w:val="fr-FR"/>
              </w:rPr>
            </w:pPr>
            <w:r>
              <w:rPr>
                <w:sz w:val="20"/>
                <w:szCs w:val="20"/>
                <w:lang w:val="fr-FR"/>
              </w:rPr>
              <w:t>[</w:t>
            </w:r>
            <w:r w:rsidRPr="00B40E27">
              <w:rPr>
                <w:i/>
                <w:iCs/>
                <w:sz w:val="20"/>
                <w:szCs w:val="20"/>
                <w:lang w:val="fr-FR"/>
              </w:rPr>
              <w:t>Se lever tôt</w:t>
            </w:r>
            <w:r w:rsidRPr="00B40E27">
              <w:rPr>
                <w:sz w:val="20"/>
                <w:szCs w:val="20"/>
                <w:lang w:val="fr-FR"/>
              </w:rPr>
              <w:t xml:space="preserve"> </w:t>
            </w:r>
            <w:r>
              <w:rPr>
                <w:sz w:val="20"/>
                <w:szCs w:val="20"/>
                <w:lang w:val="fr-FR"/>
              </w:rPr>
              <w:t xml:space="preserve">(P) </w:t>
            </w:r>
            <w:r w:rsidRPr="00B40E27">
              <w:rPr>
                <w:sz w:val="20"/>
                <w:szCs w:val="20"/>
                <w:lang w:val="fr-FR"/>
              </w:rPr>
              <w:t xml:space="preserve">est un argument </w:t>
            </w:r>
            <w:r>
              <w:rPr>
                <w:sz w:val="20"/>
                <w:szCs w:val="20"/>
                <w:lang w:val="fr-FR"/>
              </w:rPr>
              <w:t>pour</w:t>
            </w:r>
            <w:r w:rsidRPr="00B40E27">
              <w:rPr>
                <w:sz w:val="20"/>
                <w:szCs w:val="20"/>
                <w:lang w:val="fr-FR"/>
              </w:rPr>
              <w:t xml:space="preserve"> </w:t>
            </w:r>
            <w:r w:rsidRPr="00B40E27">
              <w:rPr>
                <w:i/>
                <w:iCs/>
                <w:sz w:val="20"/>
                <w:szCs w:val="20"/>
                <w:lang w:val="fr-FR"/>
              </w:rPr>
              <w:t>Devenir fou de bonne heure</w:t>
            </w:r>
            <w:r>
              <w:rPr>
                <w:sz w:val="20"/>
                <w:szCs w:val="20"/>
                <w:lang w:val="fr-FR"/>
              </w:rPr>
              <w:t xml:space="preserve"> (Q)]</w:t>
            </w:r>
          </w:p>
        </w:tc>
      </w:tr>
    </w:tbl>
    <w:p w14:paraId="0E3BCA02" w14:textId="77777777" w:rsidR="00253F89" w:rsidRPr="006E0696" w:rsidRDefault="00253F89" w:rsidP="00253F89">
      <w:pPr>
        <w:jc w:val="both"/>
      </w:pPr>
    </w:p>
    <w:p w14:paraId="164762DD" w14:textId="526DD769" w:rsidR="00423154" w:rsidRDefault="002B7CAC" w:rsidP="00143492">
      <w:pPr>
        <w:jc w:val="both"/>
        <w:rPr>
          <w:sz w:val="22"/>
          <w:szCs w:val="22"/>
          <w:lang w:val="fr-FR"/>
        </w:rPr>
      </w:pPr>
      <w:r w:rsidRPr="002B7CAC">
        <w:rPr>
          <w:sz w:val="22"/>
          <w:szCs w:val="22"/>
          <w:lang w:val="fr-FR"/>
        </w:rPr>
        <w:t>Le détournement du proverbe entraîne une subversion d</w:t>
      </w:r>
      <w:r w:rsidR="007115B4">
        <w:rPr>
          <w:sz w:val="22"/>
          <w:szCs w:val="22"/>
          <w:lang w:val="fr-FR"/>
        </w:rPr>
        <w:t>’un</w:t>
      </w:r>
      <w:r w:rsidRPr="002B7CAC">
        <w:rPr>
          <w:sz w:val="22"/>
          <w:szCs w:val="22"/>
          <w:lang w:val="fr-FR"/>
        </w:rPr>
        <w:t xml:space="preserve"> principe commun </w:t>
      </w:r>
      <w:r w:rsidR="007115B4">
        <w:rPr>
          <w:sz w:val="22"/>
          <w:szCs w:val="22"/>
          <w:lang w:val="fr-FR"/>
        </w:rPr>
        <w:t>partagé</w:t>
      </w:r>
      <w:r w:rsidRPr="002B7CAC">
        <w:rPr>
          <w:sz w:val="22"/>
          <w:szCs w:val="22"/>
          <w:lang w:val="fr-FR"/>
        </w:rPr>
        <w:t xml:space="preserve"> par la communauté linguistique, ce qui produit un effet humoristique. En effet, la transposition du </w:t>
      </w:r>
      <w:r w:rsidRPr="002B7CAC">
        <w:rPr>
          <w:i/>
          <w:iCs/>
          <w:sz w:val="22"/>
          <w:szCs w:val="22"/>
          <w:lang w:val="fr-FR"/>
        </w:rPr>
        <w:t>moule formel</w:t>
      </w:r>
      <w:r w:rsidRPr="002B7CAC">
        <w:rPr>
          <w:sz w:val="22"/>
          <w:szCs w:val="22"/>
          <w:lang w:val="fr-FR"/>
        </w:rPr>
        <w:t xml:space="preserve"> et du </w:t>
      </w:r>
      <w:r w:rsidRPr="002B7CAC">
        <w:rPr>
          <w:i/>
          <w:iCs/>
          <w:sz w:val="22"/>
          <w:szCs w:val="22"/>
          <w:lang w:val="fr-FR"/>
        </w:rPr>
        <w:t>moule sémantique</w:t>
      </w:r>
      <w:r w:rsidRPr="002B7CAC">
        <w:rPr>
          <w:sz w:val="22"/>
          <w:szCs w:val="22"/>
          <w:lang w:val="fr-FR"/>
        </w:rPr>
        <w:t xml:space="preserve"> s’accompagne d’une transposition du caractère de validité générale attribué au proverbe, </w:t>
      </w:r>
      <w:r>
        <w:rPr>
          <w:sz w:val="22"/>
          <w:szCs w:val="22"/>
          <w:lang w:val="fr-FR"/>
        </w:rPr>
        <w:t>car celui-ci est une</w:t>
      </w:r>
      <w:r w:rsidRPr="002B7CAC">
        <w:rPr>
          <w:sz w:val="22"/>
          <w:szCs w:val="22"/>
          <w:lang w:val="fr-FR"/>
        </w:rPr>
        <w:t xml:space="preserve"> </w:t>
      </w:r>
      <w:r w:rsidRPr="002B7CAC">
        <w:rPr>
          <w:i/>
          <w:iCs/>
          <w:sz w:val="22"/>
          <w:szCs w:val="22"/>
          <w:lang w:val="fr-FR"/>
        </w:rPr>
        <w:t>phrase générique</w:t>
      </w:r>
      <w:r w:rsidRPr="002B7CAC">
        <w:rPr>
          <w:sz w:val="22"/>
          <w:szCs w:val="22"/>
          <w:lang w:val="fr-FR"/>
        </w:rPr>
        <w:t xml:space="preserve">, c’est-à-dire </w:t>
      </w:r>
      <w:r>
        <w:rPr>
          <w:sz w:val="22"/>
          <w:szCs w:val="22"/>
          <w:lang w:val="fr-FR"/>
        </w:rPr>
        <w:t>un énoncé</w:t>
      </w:r>
      <w:r w:rsidRPr="002B7CAC">
        <w:rPr>
          <w:sz w:val="22"/>
          <w:szCs w:val="22"/>
          <w:lang w:val="fr-FR"/>
        </w:rPr>
        <w:t xml:space="preserve"> qui exprime </w:t>
      </w:r>
      <w:r>
        <w:rPr>
          <w:sz w:val="22"/>
          <w:szCs w:val="22"/>
          <w:lang w:val="fr-FR"/>
        </w:rPr>
        <w:t>une</w:t>
      </w:r>
      <w:r w:rsidRPr="002B7CAC">
        <w:rPr>
          <w:sz w:val="22"/>
          <w:szCs w:val="22"/>
          <w:lang w:val="fr-FR"/>
        </w:rPr>
        <w:t xml:space="preserve"> vérité générale pour une communauté linguistique (</w:t>
      </w:r>
      <w:proofErr w:type="spellStart"/>
      <w:r w:rsidRPr="002B7CAC">
        <w:rPr>
          <w:sz w:val="22"/>
          <w:szCs w:val="22"/>
          <w:lang w:val="fr-FR"/>
        </w:rPr>
        <w:t>Anscombre</w:t>
      </w:r>
      <w:proofErr w:type="spellEnd"/>
      <w:r w:rsidR="00DA0984">
        <w:rPr>
          <w:sz w:val="22"/>
          <w:szCs w:val="22"/>
          <w:lang w:val="fr-FR"/>
        </w:rPr>
        <w:t xml:space="preserve">, </w:t>
      </w:r>
      <w:r w:rsidRPr="002B7CAC">
        <w:rPr>
          <w:sz w:val="22"/>
          <w:szCs w:val="22"/>
          <w:lang w:val="fr-FR"/>
        </w:rPr>
        <w:t>1995)</w:t>
      </w:r>
      <w:r>
        <w:rPr>
          <w:sz w:val="22"/>
          <w:szCs w:val="22"/>
          <w:lang w:val="fr-FR"/>
        </w:rPr>
        <w:t xml:space="preserve"> : </w:t>
      </w:r>
      <w:r w:rsidRPr="002B7CAC">
        <w:rPr>
          <w:sz w:val="22"/>
          <w:szCs w:val="22"/>
          <w:lang w:val="fr-FR"/>
        </w:rPr>
        <w:t xml:space="preserve">la </w:t>
      </w:r>
      <w:r>
        <w:rPr>
          <w:sz w:val="22"/>
          <w:szCs w:val="22"/>
          <w:lang w:val="fr-FR"/>
        </w:rPr>
        <w:t>règle générale</w:t>
      </w:r>
      <w:r w:rsidRPr="002B7CAC">
        <w:rPr>
          <w:sz w:val="22"/>
          <w:szCs w:val="22"/>
          <w:lang w:val="fr-FR"/>
        </w:rPr>
        <w:t xml:space="preserve"> «</w:t>
      </w:r>
      <w:r w:rsidR="00446F62">
        <w:rPr>
          <w:sz w:val="22"/>
          <w:szCs w:val="22"/>
          <w:lang w:val="fr-FR"/>
        </w:rPr>
        <w:t> </w:t>
      </w:r>
      <w:r w:rsidRPr="002B7CAC">
        <w:rPr>
          <w:sz w:val="22"/>
          <w:szCs w:val="22"/>
          <w:lang w:val="fr-FR"/>
        </w:rPr>
        <w:t>Ceux qui se lèvent tôt sont récompensés</w:t>
      </w:r>
      <w:r w:rsidR="00446F62">
        <w:rPr>
          <w:sz w:val="22"/>
          <w:szCs w:val="22"/>
          <w:lang w:val="fr-FR"/>
        </w:rPr>
        <w:t> </w:t>
      </w:r>
      <w:r w:rsidRPr="002B7CAC">
        <w:rPr>
          <w:sz w:val="22"/>
          <w:szCs w:val="22"/>
          <w:lang w:val="fr-FR"/>
        </w:rPr>
        <w:t>» est remplacée par la règle générale «</w:t>
      </w:r>
      <w:r w:rsidR="00446F62">
        <w:rPr>
          <w:sz w:val="22"/>
          <w:szCs w:val="22"/>
          <w:lang w:val="fr-FR"/>
        </w:rPr>
        <w:t> </w:t>
      </w:r>
      <w:r w:rsidRPr="002B7CAC">
        <w:rPr>
          <w:sz w:val="22"/>
          <w:szCs w:val="22"/>
          <w:lang w:val="fr-FR"/>
        </w:rPr>
        <w:t>Ceux qui se lèvent tôt deviennent fous</w:t>
      </w:r>
      <w:r w:rsidR="00446F62">
        <w:rPr>
          <w:sz w:val="22"/>
          <w:szCs w:val="22"/>
          <w:lang w:val="fr-FR"/>
        </w:rPr>
        <w:t> </w:t>
      </w:r>
      <w:r w:rsidRPr="002B7CAC">
        <w:rPr>
          <w:sz w:val="22"/>
          <w:szCs w:val="22"/>
          <w:lang w:val="fr-FR"/>
        </w:rPr>
        <w:t xml:space="preserve">». </w:t>
      </w:r>
    </w:p>
    <w:p w14:paraId="42529D03" w14:textId="1DFAD6F1" w:rsidR="00423154" w:rsidRPr="00423154" w:rsidRDefault="006349B2" w:rsidP="00423154">
      <w:pPr>
        <w:ind w:firstLine="708"/>
        <w:jc w:val="both"/>
        <w:rPr>
          <w:sz w:val="22"/>
          <w:szCs w:val="22"/>
          <w:lang w:val="fr-FR"/>
        </w:rPr>
      </w:pPr>
      <w:r w:rsidRPr="006349B2">
        <w:rPr>
          <w:sz w:val="22"/>
          <w:szCs w:val="22"/>
        </w:rPr>
        <w:t xml:space="preserve">Mais l'effet humoristique ne s'arrête pas là. Le proverbe détourné n'apparaît pas seul, </w:t>
      </w:r>
      <w:r w:rsidR="00DA0984">
        <w:rPr>
          <w:sz w:val="22"/>
          <w:szCs w:val="22"/>
        </w:rPr>
        <w:t>il</w:t>
      </w:r>
      <w:r w:rsidRPr="006349B2">
        <w:rPr>
          <w:sz w:val="22"/>
          <w:szCs w:val="22"/>
        </w:rPr>
        <w:t xml:space="preserve"> accompagne une image. En l’accompagnant, il remplit ce que Barthes (1964) appelle une fonction d’«</w:t>
      </w:r>
      <w:r w:rsidR="00446F62">
        <w:rPr>
          <w:sz w:val="22"/>
          <w:szCs w:val="22"/>
        </w:rPr>
        <w:t> </w:t>
      </w:r>
      <w:r w:rsidRPr="006349B2">
        <w:rPr>
          <w:sz w:val="22"/>
          <w:szCs w:val="22"/>
        </w:rPr>
        <w:t>ancrage</w:t>
      </w:r>
      <w:r w:rsidR="00446F62">
        <w:rPr>
          <w:sz w:val="22"/>
          <w:szCs w:val="22"/>
        </w:rPr>
        <w:t> </w:t>
      </w:r>
      <w:r w:rsidRPr="006349B2">
        <w:rPr>
          <w:sz w:val="22"/>
          <w:szCs w:val="22"/>
        </w:rPr>
        <w:t>», c’est-à-dire que le texte sélectionne le sens à attribuer à l’image en écartant d’autres possibilités qui pourraient en être déduites. Cet «</w:t>
      </w:r>
      <w:r w:rsidR="00446F62">
        <w:rPr>
          <w:sz w:val="22"/>
          <w:szCs w:val="22"/>
        </w:rPr>
        <w:t> </w:t>
      </w:r>
      <w:r w:rsidRPr="006349B2">
        <w:rPr>
          <w:sz w:val="22"/>
          <w:szCs w:val="22"/>
        </w:rPr>
        <w:t>ancrage</w:t>
      </w:r>
      <w:r w:rsidR="00446F62">
        <w:rPr>
          <w:sz w:val="22"/>
          <w:szCs w:val="22"/>
        </w:rPr>
        <w:t> </w:t>
      </w:r>
      <w:r w:rsidRPr="006349B2">
        <w:rPr>
          <w:sz w:val="22"/>
          <w:szCs w:val="22"/>
        </w:rPr>
        <w:t>» contribue également à la subversion de la règle générale énoncée dans le proverbe. En effet, l’image représente Pikachu, le</w:t>
      </w:r>
      <w:r w:rsidR="00143492">
        <w:rPr>
          <w:sz w:val="22"/>
          <w:szCs w:val="22"/>
        </w:rPr>
        <w:t xml:space="preserve"> </w:t>
      </w:r>
      <w:r w:rsidRPr="006349B2">
        <w:rPr>
          <w:sz w:val="22"/>
          <w:szCs w:val="22"/>
        </w:rPr>
        <w:t>Pokémon le plus populaire et l’une des icônes les plus reconnaissables de la culture pop contemporaine. L’image de Pikachu apporte un nouveau point de vue : face à la règle de la communauté linguistique, se pose une nouvelle règle de la communauté virtuelle d’Internet dans laquelle un personnage pop emblématique fait office d’autorité garantissant la véracité du nouveau proverbe. Vu sous cet angle, le mème, construit à partir de l’interaction entre le texte et l’image, est une « parole » au sens de Barthes (1957), c’est-à-dire un mode de signification à part entière, une manière de communiquer un message.</w:t>
      </w:r>
    </w:p>
    <w:p w14:paraId="6DFB08AD" w14:textId="2F5DF37C" w:rsidR="00143492" w:rsidRDefault="00143492" w:rsidP="00423154">
      <w:pPr>
        <w:ind w:firstLine="708"/>
        <w:jc w:val="both"/>
        <w:rPr>
          <w:sz w:val="22"/>
          <w:szCs w:val="22"/>
        </w:rPr>
      </w:pPr>
      <w:r w:rsidRPr="00143492">
        <w:rPr>
          <w:sz w:val="22"/>
          <w:szCs w:val="22"/>
        </w:rPr>
        <w:t>Notre analyse montrera que les mèmes sont le fruit de la construction d’une « parole émotionnelle » qui, s’appuyant sur des structures de signification détournées, produit des structures dotées d’une force argumentative efficace.</w:t>
      </w:r>
    </w:p>
    <w:p w14:paraId="437B07A1" w14:textId="77777777" w:rsidR="00D956EB" w:rsidRDefault="00D956EB" w:rsidP="00143492">
      <w:pPr>
        <w:jc w:val="both"/>
        <w:rPr>
          <w:sz w:val="22"/>
          <w:szCs w:val="22"/>
        </w:rPr>
      </w:pPr>
    </w:p>
    <w:p w14:paraId="7E3C6F9D" w14:textId="51DAB37A" w:rsidR="00D956EB" w:rsidRPr="00423154" w:rsidRDefault="00D956EB" w:rsidP="00143492">
      <w:pPr>
        <w:jc w:val="both"/>
        <w:rPr>
          <w:b/>
          <w:bCs/>
          <w:sz w:val="22"/>
          <w:szCs w:val="22"/>
        </w:rPr>
      </w:pPr>
      <w:r w:rsidRPr="00423154">
        <w:rPr>
          <w:b/>
          <w:bCs/>
          <w:sz w:val="22"/>
          <w:szCs w:val="22"/>
        </w:rPr>
        <w:t>Références bibliographiques</w:t>
      </w:r>
    </w:p>
    <w:p w14:paraId="0F65990A" w14:textId="77777777" w:rsidR="00D956EB" w:rsidRPr="00423154" w:rsidRDefault="00D956EB" w:rsidP="00423154">
      <w:pPr>
        <w:ind w:hanging="709"/>
        <w:jc w:val="both"/>
        <w:rPr>
          <w:sz w:val="20"/>
          <w:szCs w:val="20"/>
          <w:lang w:val="fr-FR"/>
        </w:rPr>
      </w:pPr>
    </w:p>
    <w:p w14:paraId="46DD0E55" w14:textId="3ECC578C" w:rsidR="00D956EB" w:rsidRPr="007115B4" w:rsidRDefault="00D956EB" w:rsidP="00423154">
      <w:pPr>
        <w:ind w:left="709" w:hanging="709"/>
        <w:jc w:val="both"/>
        <w:rPr>
          <w:sz w:val="20"/>
          <w:szCs w:val="20"/>
          <w:lang w:val="fr-FR"/>
        </w:rPr>
      </w:pPr>
      <w:proofErr w:type="spellStart"/>
      <w:r w:rsidRPr="007115B4">
        <w:rPr>
          <w:sz w:val="20"/>
          <w:szCs w:val="20"/>
          <w:lang w:val="fr-FR"/>
        </w:rPr>
        <w:t>A</w:t>
      </w:r>
      <w:r w:rsidR="00423154" w:rsidRPr="007115B4">
        <w:rPr>
          <w:sz w:val="20"/>
          <w:szCs w:val="20"/>
          <w:lang w:val="fr-FR"/>
        </w:rPr>
        <w:t>nscombre</w:t>
      </w:r>
      <w:proofErr w:type="spellEnd"/>
      <w:r w:rsidRPr="007115B4">
        <w:rPr>
          <w:sz w:val="20"/>
          <w:szCs w:val="20"/>
          <w:lang w:val="fr-FR"/>
        </w:rPr>
        <w:t>, Jean-Claude (1994).</w:t>
      </w:r>
      <w:r w:rsidR="00423154" w:rsidRPr="007115B4">
        <w:rPr>
          <w:sz w:val="20"/>
          <w:szCs w:val="20"/>
          <w:lang w:val="fr-FR"/>
        </w:rPr>
        <w:t xml:space="preserve"> </w:t>
      </w:r>
      <w:r w:rsidRPr="007115B4">
        <w:rPr>
          <w:sz w:val="20"/>
          <w:szCs w:val="20"/>
          <w:lang w:val="fr-FR"/>
        </w:rPr>
        <w:t xml:space="preserve">Proverbes et formes proverbiales : valeur évidentielle et argumentative, </w:t>
      </w:r>
      <w:r w:rsidRPr="007115B4">
        <w:rPr>
          <w:i/>
          <w:iCs/>
          <w:sz w:val="20"/>
          <w:szCs w:val="20"/>
          <w:lang w:val="fr-FR"/>
        </w:rPr>
        <w:t>Langue française</w:t>
      </w:r>
      <w:r w:rsidRPr="007115B4">
        <w:rPr>
          <w:sz w:val="20"/>
          <w:szCs w:val="20"/>
          <w:lang w:val="fr-FR"/>
        </w:rPr>
        <w:t>, 102, p. 95-107.</w:t>
      </w:r>
    </w:p>
    <w:p w14:paraId="297BAB12" w14:textId="660FA346" w:rsidR="00D956EB" w:rsidRPr="007115B4" w:rsidRDefault="00423154" w:rsidP="00423154">
      <w:pPr>
        <w:ind w:left="709" w:hanging="709"/>
        <w:jc w:val="both"/>
        <w:rPr>
          <w:sz w:val="20"/>
          <w:szCs w:val="20"/>
        </w:rPr>
      </w:pPr>
      <w:proofErr w:type="spellStart"/>
      <w:r w:rsidRPr="007115B4">
        <w:rPr>
          <w:sz w:val="20"/>
          <w:szCs w:val="20"/>
          <w:lang w:val="es-ES"/>
        </w:rPr>
        <w:t>Anscombre</w:t>
      </w:r>
      <w:proofErr w:type="spellEnd"/>
      <w:r w:rsidR="00D956EB" w:rsidRPr="007115B4">
        <w:rPr>
          <w:sz w:val="20"/>
          <w:szCs w:val="20"/>
        </w:rPr>
        <w:t xml:space="preserve">, Jean-Claude (1995). Semántica y léxico: topoï, estereotipos y frases genéricas, </w:t>
      </w:r>
      <w:r w:rsidR="00D956EB" w:rsidRPr="007115B4">
        <w:rPr>
          <w:i/>
          <w:iCs/>
          <w:sz w:val="20"/>
          <w:szCs w:val="20"/>
        </w:rPr>
        <w:t>Revista Española de Lingüística</w:t>
      </w:r>
      <w:r w:rsidR="00D956EB" w:rsidRPr="007115B4">
        <w:rPr>
          <w:sz w:val="20"/>
          <w:szCs w:val="20"/>
        </w:rPr>
        <w:t>, nº 25, 2, p. 297-310.</w:t>
      </w:r>
    </w:p>
    <w:p w14:paraId="085EA35D" w14:textId="1E75F33E" w:rsidR="00D956EB" w:rsidRPr="007115B4" w:rsidRDefault="00423154" w:rsidP="00423154">
      <w:pPr>
        <w:ind w:left="709" w:hanging="709"/>
        <w:jc w:val="both"/>
        <w:rPr>
          <w:sz w:val="20"/>
          <w:szCs w:val="20"/>
          <w:lang w:val="fr-FR"/>
        </w:rPr>
      </w:pPr>
      <w:proofErr w:type="spellStart"/>
      <w:r w:rsidRPr="007115B4">
        <w:rPr>
          <w:sz w:val="20"/>
          <w:szCs w:val="20"/>
          <w:lang w:val="fr-FR"/>
        </w:rPr>
        <w:t>Anscombre</w:t>
      </w:r>
      <w:proofErr w:type="spellEnd"/>
      <w:r w:rsidR="00D956EB" w:rsidRPr="007115B4">
        <w:rPr>
          <w:sz w:val="20"/>
          <w:szCs w:val="20"/>
          <w:lang w:val="fr-FR"/>
        </w:rPr>
        <w:t xml:space="preserve">, Jean-Claude (2001). Dénomination, sens et référence dans une théorie des stéréotypes nominaux, </w:t>
      </w:r>
      <w:r w:rsidR="00D956EB" w:rsidRPr="007115B4">
        <w:rPr>
          <w:i/>
          <w:iCs/>
          <w:sz w:val="20"/>
          <w:szCs w:val="20"/>
          <w:lang w:val="fr-FR"/>
        </w:rPr>
        <w:t>Cahiers de praxématique</w:t>
      </w:r>
      <w:r w:rsidR="00D956EB" w:rsidRPr="007115B4">
        <w:rPr>
          <w:sz w:val="20"/>
          <w:szCs w:val="20"/>
          <w:lang w:val="fr-FR"/>
        </w:rPr>
        <w:t>, nº 36, p. 43-72.</w:t>
      </w:r>
    </w:p>
    <w:p w14:paraId="31ADE7C0" w14:textId="6F258073" w:rsidR="00D956EB" w:rsidRPr="007115B4" w:rsidRDefault="00423154" w:rsidP="00423154">
      <w:pPr>
        <w:ind w:left="709" w:hanging="709"/>
        <w:jc w:val="both"/>
        <w:rPr>
          <w:sz w:val="20"/>
          <w:szCs w:val="20"/>
          <w:lang w:val="fr-FR"/>
        </w:rPr>
      </w:pPr>
      <w:proofErr w:type="spellStart"/>
      <w:r w:rsidRPr="007115B4">
        <w:rPr>
          <w:sz w:val="20"/>
          <w:szCs w:val="20"/>
          <w:lang w:val="fr-FR"/>
        </w:rPr>
        <w:t>Anscombre</w:t>
      </w:r>
      <w:proofErr w:type="spellEnd"/>
      <w:r w:rsidR="00D956EB" w:rsidRPr="007115B4">
        <w:rPr>
          <w:sz w:val="20"/>
          <w:szCs w:val="20"/>
          <w:lang w:val="fr-FR"/>
        </w:rPr>
        <w:t xml:space="preserve">, Jean-Claude (2005). Le ON-locuteur : une entité aux multiples visages, in Bres, J., </w:t>
      </w:r>
      <w:proofErr w:type="spellStart"/>
      <w:r w:rsidR="00D956EB" w:rsidRPr="007115B4">
        <w:rPr>
          <w:sz w:val="20"/>
          <w:szCs w:val="20"/>
          <w:lang w:val="fr-FR"/>
        </w:rPr>
        <w:t>Haillet</w:t>
      </w:r>
      <w:proofErr w:type="spellEnd"/>
      <w:r w:rsidR="00D956EB" w:rsidRPr="007115B4">
        <w:rPr>
          <w:sz w:val="20"/>
          <w:szCs w:val="20"/>
          <w:lang w:val="fr-FR"/>
        </w:rPr>
        <w:t xml:space="preserve">, P. P., </w:t>
      </w:r>
      <w:proofErr w:type="spellStart"/>
      <w:r w:rsidR="00D956EB" w:rsidRPr="007115B4">
        <w:rPr>
          <w:sz w:val="20"/>
          <w:szCs w:val="20"/>
          <w:lang w:val="fr-FR"/>
        </w:rPr>
        <w:t>Mellet</w:t>
      </w:r>
      <w:proofErr w:type="spellEnd"/>
      <w:r w:rsidR="00D956EB" w:rsidRPr="007115B4">
        <w:rPr>
          <w:sz w:val="20"/>
          <w:szCs w:val="20"/>
          <w:lang w:val="fr-FR"/>
        </w:rPr>
        <w:t xml:space="preserve">, S., </w:t>
      </w:r>
      <w:proofErr w:type="spellStart"/>
      <w:r w:rsidR="00D956EB" w:rsidRPr="007115B4">
        <w:rPr>
          <w:sz w:val="20"/>
          <w:szCs w:val="20"/>
          <w:lang w:val="fr-FR"/>
        </w:rPr>
        <w:t>Nølke</w:t>
      </w:r>
      <w:proofErr w:type="spellEnd"/>
      <w:r w:rsidR="00D956EB" w:rsidRPr="007115B4">
        <w:rPr>
          <w:sz w:val="20"/>
          <w:szCs w:val="20"/>
          <w:lang w:val="fr-FR"/>
        </w:rPr>
        <w:t>, H. &amp; Rosier, L. (</w:t>
      </w:r>
      <w:proofErr w:type="spellStart"/>
      <w:r w:rsidR="00D956EB" w:rsidRPr="007115B4">
        <w:rPr>
          <w:sz w:val="20"/>
          <w:szCs w:val="20"/>
          <w:lang w:val="fr-FR"/>
        </w:rPr>
        <w:t>éds</w:t>
      </w:r>
      <w:proofErr w:type="spellEnd"/>
      <w:r w:rsidR="00D956EB" w:rsidRPr="007115B4">
        <w:rPr>
          <w:sz w:val="20"/>
          <w:szCs w:val="20"/>
          <w:lang w:val="fr-FR"/>
        </w:rPr>
        <w:t xml:space="preserve">.), </w:t>
      </w:r>
      <w:r w:rsidR="00D956EB" w:rsidRPr="007115B4">
        <w:rPr>
          <w:i/>
          <w:iCs/>
          <w:sz w:val="20"/>
          <w:szCs w:val="20"/>
          <w:lang w:val="fr-FR"/>
        </w:rPr>
        <w:t>Dialogisme et polyphonie : approches linguistiques</w:t>
      </w:r>
      <w:r w:rsidR="00D956EB" w:rsidRPr="007115B4">
        <w:rPr>
          <w:sz w:val="20"/>
          <w:szCs w:val="20"/>
          <w:lang w:val="fr-FR"/>
        </w:rPr>
        <w:t>, Bruxelles, De Boeck-Duculot, p.75-94.</w:t>
      </w:r>
    </w:p>
    <w:p w14:paraId="61F7D6CC" w14:textId="3665DB4E" w:rsidR="00D956EB" w:rsidRPr="007115B4" w:rsidRDefault="00D956EB" w:rsidP="00423154">
      <w:pPr>
        <w:ind w:left="709" w:hanging="709"/>
        <w:jc w:val="both"/>
        <w:rPr>
          <w:sz w:val="20"/>
          <w:szCs w:val="20"/>
          <w:lang w:val="fr-FR"/>
        </w:rPr>
      </w:pPr>
      <w:r w:rsidRPr="007115B4">
        <w:rPr>
          <w:sz w:val="20"/>
          <w:szCs w:val="20"/>
          <w:lang w:val="fr-FR"/>
        </w:rPr>
        <w:t>B</w:t>
      </w:r>
      <w:r w:rsidR="00423154" w:rsidRPr="007115B4">
        <w:rPr>
          <w:sz w:val="20"/>
          <w:szCs w:val="20"/>
          <w:lang w:val="fr-FR"/>
        </w:rPr>
        <w:t>arthes</w:t>
      </w:r>
      <w:r w:rsidRPr="007115B4">
        <w:rPr>
          <w:sz w:val="20"/>
          <w:szCs w:val="20"/>
          <w:lang w:val="fr-FR"/>
        </w:rPr>
        <w:t xml:space="preserve">, Roland (1957). </w:t>
      </w:r>
      <w:r w:rsidRPr="007115B4">
        <w:rPr>
          <w:i/>
          <w:iCs/>
          <w:sz w:val="20"/>
          <w:szCs w:val="20"/>
          <w:lang w:val="fr-FR"/>
        </w:rPr>
        <w:t>Mythologies</w:t>
      </w:r>
      <w:r w:rsidRPr="007115B4">
        <w:rPr>
          <w:sz w:val="20"/>
          <w:szCs w:val="20"/>
          <w:lang w:val="fr-FR"/>
        </w:rPr>
        <w:t>. Paris, Éditions du Seuil.</w:t>
      </w:r>
    </w:p>
    <w:p w14:paraId="23937E5D" w14:textId="77777777" w:rsidR="00423154" w:rsidRPr="007115B4" w:rsidRDefault="00D956EB" w:rsidP="00423154">
      <w:pPr>
        <w:ind w:left="709" w:hanging="709"/>
        <w:jc w:val="both"/>
        <w:rPr>
          <w:sz w:val="20"/>
          <w:szCs w:val="20"/>
          <w:lang w:val="fr-FR"/>
        </w:rPr>
      </w:pPr>
      <w:r w:rsidRPr="007115B4">
        <w:rPr>
          <w:sz w:val="20"/>
          <w:szCs w:val="20"/>
          <w:lang w:val="fr-FR"/>
        </w:rPr>
        <w:t>B</w:t>
      </w:r>
      <w:r w:rsidR="00423154" w:rsidRPr="007115B4">
        <w:rPr>
          <w:sz w:val="20"/>
          <w:szCs w:val="20"/>
          <w:lang w:val="fr-FR"/>
        </w:rPr>
        <w:t>arthes</w:t>
      </w:r>
      <w:r w:rsidRPr="007115B4">
        <w:rPr>
          <w:sz w:val="20"/>
          <w:szCs w:val="20"/>
          <w:lang w:val="fr-FR"/>
        </w:rPr>
        <w:t xml:space="preserve">, Roland (1964). Rhétorique de l’image, </w:t>
      </w:r>
      <w:r w:rsidRPr="007115B4">
        <w:rPr>
          <w:i/>
          <w:iCs/>
          <w:sz w:val="20"/>
          <w:szCs w:val="20"/>
          <w:lang w:val="fr-FR"/>
        </w:rPr>
        <w:t>Communications</w:t>
      </w:r>
      <w:r w:rsidRPr="007115B4">
        <w:rPr>
          <w:sz w:val="20"/>
          <w:szCs w:val="20"/>
          <w:lang w:val="fr-FR"/>
        </w:rPr>
        <w:t>, 4, p. 40-51.</w:t>
      </w:r>
    </w:p>
    <w:p w14:paraId="577344DF" w14:textId="0FD96F67" w:rsidR="00D956EB" w:rsidRPr="007115B4" w:rsidRDefault="00D956EB" w:rsidP="00423154">
      <w:pPr>
        <w:ind w:left="709" w:hanging="709"/>
        <w:jc w:val="both"/>
        <w:rPr>
          <w:sz w:val="20"/>
          <w:szCs w:val="20"/>
          <w:lang w:val="fr-FR"/>
        </w:rPr>
      </w:pPr>
      <w:r w:rsidRPr="007115B4">
        <w:rPr>
          <w:sz w:val="20"/>
          <w:szCs w:val="20"/>
        </w:rPr>
        <w:lastRenderedPageBreak/>
        <w:t xml:space="preserve">Doñate-Ventura, J., Galán-Cubillo, E. y Marzal-Felici, J. (2024). El meme como herramienta de comunicación de éxito en Netflix España: El caso de la quinta temporada de La casa de papel. </w:t>
      </w:r>
      <w:r w:rsidRPr="007115B4">
        <w:rPr>
          <w:i/>
          <w:iCs/>
          <w:sz w:val="20"/>
          <w:szCs w:val="20"/>
        </w:rPr>
        <w:t>Hipertext.net</w:t>
      </w:r>
      <w:r w:rsidRPr="007115B4">
        <w:rPr>
          <w:sz w:val="20"/>
          <w:szCs w:val="20"/>
        </w:rPr>
        <w:t xml:space="preserve">, (28), </w:t>
      </w:r>
      <w:r w:rsidR="00423154" w:rsidRPr="007115B4">
        <w:rPr>
          <w:sz w:val="20"/>
          <w:szCs w:val="20"/>
        </w:rPr>
        <w:t xml:space="preserve">p. </w:t>
      </w:r>
      <w:r w:rsidRPr="007115B4">
        <w:rPr>
          <w:sz w:val="20"/>
          <w:szCs w:val="20"/>
        </w:rPr>
        <w:t>105-128.</w:t>
      </w:r>
    </w:p>
    <w:p w14:paraId="18000C42" w14:textId="77777777" w:rsidR="00423154" w:rsidRPr="007115B4" w:rsidRDefault="00D956EB" w:rsidP="00423154">
      <w:pPr>
        <w:ind w:left="709" w:hanging="709"/>
        <w:jc w:val="both"/>
        <w:rPr>
          <w:sz w:val="20"/>
          <w:szCs w:val="20"/>
        </w:rPr>
      </w:pPr>
      <w:r w:rsidRPr="007115B4">
        <w:rPr>
          <w:sz w:val="20"/>
          <w:szCs w:val="20"/>
          <w:lang w:val="fr-FR"/>
        </w:rPr>
        <w:t>G</w:t>
      </w:r>
      <w:r w:rsidR="00423154" w:rsidRPr="007115B4">
        <w:rPr>
          <w:sz w:val="20"/>
          <w:szCs w:val="20"/>
          <w:lang w:val="fr-FR"/>
        </w:rPr>
        <w:t xml:space="preserve">ómez-Jordana </w:t>
      </w:r>
      <w:proofErr w:type="spellStart"/>
      <w:r w:rsidR="00423154" w:rsidRPr="007115B4">
        <w:rPr>
          <w:sz w:val="20"/>
          <w:szCs w:val="20"/>
          <w:lang w:val="fr-FR"/>
        </w:rPr>
        <w:t>Ferary</w:t>
      </w:r>
      <w:proofErr w:type="spellEnd"/>
      <w:r w:rsidR="00423154" w:rsidRPr="007115B4">
        <w:rPr>
          <w:sz w:val="20"/>
          <w:szCs w:val="20"/>
          <w:lang w:val="fr-FR"/>
        </w:rPr>
        <w:t>,</w:t>
      </w:r>
      <w:r w:rsidRPr="007115B4">
        <w:rPr>
          <w:sz w:val="20"/>
          <w:szCs w:val="20"/>
          <w:lang w:val="fr-FR"/>
        </w:rPr>
        <w:t xml:space="preserve"> Sonia (2009). Analyse syntaxique et sémantique de quelques proverbes français et espagnols du XIVe au XXIe siècle, </w:t>
      </w:r>
      <w:r w:rsidRPr="007115B4">
        <w:rPr>
          <w:i/>
          <w:iCs/>
          <w:sz w:val="20"/>
          <w:szCs w:val="20"/>
          <w:lang w:val="fr-FR"/>
        </w:rPr>
        <w:t>Bulletin hispanique</w:t>
      </w:r>
      <w:r w:rsidRPr="007115B4">
        <w:rPr>
          <w:sz w:val="20"/>
          <w:szCs w:val="20"/>
          <w:lang w:val="fr-FR"/>
        </w:rPr>
        <w:t xml:space="preserve"> [En ligne], 111-2 | mis en ligne le 01 décembre 2012, consulté le 09 décembre 2025. </w:t>
      </w:r>
      <w:r w:rsidRPr="007115B4">
        <w:rPr>
          <w:sz w:val="20"/>
          <w:szCs w:val="20"/>
        </w:rPr>
        <w:t xml:space="preserve">URL : </w:t>
      </w:r>
      <w:hyperlink r:id="rId9" w:history="1">
        <w:r w:rsidRPr="007115B4">
          <w:rPr>
            <w:rStyle w:val="Lienhypertexte"/>
            <w:sz w:val="20"/>
            <w:szCs w:val="20"/>
          </w:rPr>
          <w:t>http://journals.openedition.org/bulletinhispanique/1038</w:t>
        </w:r>
      </w:hyperlink>
    </w:p>
    <w:p w14:paraId="07921003" w14:textId="6ED3A5CA" w:rsidR="00423154" w:rsidRPr="007115B4" w:rsidRDefault="008F6D8C" w:rsidP="00423154">
      <w:pPr>
        <w:ind w:left="709" w:hanging="709"/>
        <w:jc w:val="both"/>
        <w:rPr>
          <w:sz w:val="20"/>
          <w:szCs w:val="20"/>
        </w:rPr>
      </w:pPr>
      <w:r w:rsidRPr="007115B4">
        <w:rPr>
          <w:sz w:val="20"/>
          <w:szCs w:val="20"/>
        </w:rPr>
        <w:t xml:space="preserve">Mancera-Rueda, A., Pano Alamán, A. (2026). Memes políticos y humor crítico multimodal en las redes sociales, ELUA, 45, </w:t>
      </w:r>
      <w:r w:rsidR="00423154" w:rsidRPr="007115B4">
        <w:rPr>
          <w:sz w:val="20"/>
          <w:szCs w:val="20"/>
        </w:rPr>
        <w:t xml:space="preserve">p. </w:t>
      </w:r>
      <w:r w:rsidRPr="007115B4">
        <w:rPr>
          <w:sz w:val="20"/>
          <w:szCs w:val="20"/>
        </w:rPr>
        <w:t xml:space="preserve">209-237. </w:t>
      </w:r>
      <w:hyperlink r:id="rId10" w:history="1">
        <w:r w:rsidR="00175C08" w:rsidRPr="007115B4">
          <w:rPr>
            <w:rStyle w:val="Lienhypertexte"/>
            <w:sz w:val="20"/>
            <w:szCs w:val="20"/>
          </w:rPr>
          <w:t>https://doi.org/10.14198/ELUA.29257</w:t>
        </w:r>
      </w:hyperlink>
      <w:r w:rsidR="00175C08" w:rsidRPr="007115B4">
        <w:rPr>
          <w:sz w:val="20"/>
          <w:szCs w:val="20"/>
        </w:rPr>
        <w:t xml:space="preserve"> </w:t>
      </w:r>
    </w:p>
    <w:p w14:paraId="77D33473" w14:textId="1CAF6BF5" w:rsidR="00446F62" w:rsidRPr="007115B4" w:rsidRDefault="00D01A82" w:rsidP="00423154">
      <w:pPr>
        <w:ind w:left="709" w:hanging="709"/>
        <w:jc w:val="both"/>
        <w:rPr>
          <w:sz w:val="20"/>
          <w:szCs w:val="20"/>
        </w:rPr>
      </w:pPr>
      <w:r w:rsidRPr="007115B4">
        <w:rPr>
          <w:sz w:val="20"/>
          <w:szCs w:val="20"/>
          <w:lang w:val="es-ES"/>
        </w:rPr>
        <w:t xml:space="preserve">Ruíz Martínez, José Manuel (2018). Una aproximación retórica a los memes de internet, </w:t>
      </w:r>
      <w:r w:rsidRPr="007115B4">
        <w:rPr>
          <w:i/>
          <w:iCs/>
          <w:sz w:val="20"/>
          <w:szCs w:val="20"/>
          <w:shd w:val="clear" w:color="auto" w:fill="FFFFFF"/>
        </w:rPr>
        <w:t>Signa</w:t>
      </w:r>
      <w:r w:rsidRPr="007115B4">
        <w:rPr>
          <w:sz w:val="20"/>
          <w:szCs w:val="20"/>
          <w:shd w:val="clear" w:color="auto" w:fill="FFFFFF"/>
        </w:rPr>
        <w:t>, 27, p. 995-1021</w:t>
      </w:r>
      <w:r w:rsidR="00423154" w:rsidRPr="007115B4">
        <w:rPr>
          <w:sz w:val="20"/>
          <w:szCs w:val="20"/>
          <w:shd w:val="clear" w:color="auto" w:fill="FFFFFF"/>
        </w:rPr>
        <w:t>.</w:t>
      </w:r>
    </w:p>
    <w:sectPr w:rsidR="00446F62" w:rsidRPr="007115B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FE2EFF" w14:textId="77777777" w:rsidR="00A97DF9" w:rsidRDefault="00A97DF9" w:rsidP="00205E89">
      <w:r>
        <w:separator/>
      </w:r>
    </w:p>
  </w:endnote>
  <w:endnote w:type="continuationSeparator" w:id="0">
    <w:p w14:paraId="6A5F9C5A" w14:textId="77777777" w:rsidR="00A97DF9" w:rsidRDefault="00A97DF9" w:rsidP="00205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alatino">
    <w:altName w:val="Book Antiqua"/>
    <w:charset w:val="4D"/>
    <w:family w:val="auto"/>
    <w:pitch w:val="variable"/>
    <w:sig w:usb0="A00002FF" w:usb1="7800205A" w:usb2="14600000" w:usb3="00000000" w:csb0="00000193" w:csb1="00000000"/>
  </w:font>
  <w:font w:name="Arial">
    <w:panose1 w:val="020B0604020202020204"/>
    <w:charset w:val="00"/>
    <w:family w:val="swiss"/>
    <w:pitch w:val="variable"/>
    <w:sig w:usb0="E0002EFF" w:usb1="C000785B" w:usb2="00000009" w:usb3="00000000" w:csb0="000001FF" w:csb1="00000000"/>
  </w:font>
  <w:font w:name="Playfair Display">
    <w:charset w:val="4D"/>
    <w:family w:val="auto"/>
    <w:pitch w:val="variable"/>
    <w:sig w:usb0="20000207" w:usb1="00000000" w:usb2="00000000" w:usb3="00000000" w:csb0="00000197"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E8DDFC" w14:textId="77777777" w:rsidR="00A97DF9" w:rsidRDefault="00A97DF9" w:rsidP="00205E89">
      <w:r>
        <w:separator/>
      </w:r>
    </w:p>
  </w:footnote>
  <w:footnote w:type="continuationSeparator" w:id="0">
    <w:p w14:paraId="23FFA15A" w14:textId="77777777" w:rsidR="00A97DF9" w:rsidRDefault="00A97DF9" w:rsidP="00205E89">
      <w:r>
        <w:continuationSeparator/>
      </w:r>
    </w:p>
  </w:footnote>
  <w:footnote w:id="1">
    <w:p w14:paraId="2CD414C7" w14:textId="4F1EA0B4" w:rsidR="008F6D8C" w:rsidRPr="00C12AAA" w:rsidRDefault="008F6D8C" w:rsidP="008F6D8C">
      <w:pPr>
        <w:pStyle w:val="NormalWeb"/>
        <w:spacing w:before="0" w:beforeAutospacing="0" w:after="0" w:afterAutospacing="0"/>
        <w:jc w:val="both"/>
        <w:rPr>
          <w:rFonts w:ascii="Palatino" w:hAnsi="Palatino"/>
          <w:sz w:val="20"/>
          <w:szCs w:val="20"/>
        </w:rPr>
      </w:pPr>
      <w:r w:rsidRPr="00AD1ECE">
        <w:rPr>
          <w:rStyle w:val="Appelnotedebasdep"/>
        </w:rPr>
        <w:footnoteRef/>
      </w:r>
      <w:r w:rsidRPr="00C12AAA">
        <w:rPr>
          <w:rFonts w:ascii="Palatino" w:hAnsi="Palatino"/>
          <w:sz w:val="20"/>
          <w:szCs w:val="20"/>
        </w:rPr>
        <w:t xml:space="preserve"> Une traduction idiomatique possible du proverbe espagnol </w:t>
      </w:r>
      <w:r w:rsidRPr="00C12AAA">
        <w:rPr>
          <w:rFonts w:ascii="Palatino" w:hAnsi="Palatino"/>
          <w:i/>
          <w:iCs/>
          <w:sz w:val="20"/>
          <w:szCs w:val="20"/>
        </w:rPr>
        <w:t>Al que madruga, Dios le ayuda</w:t>
      </w:r>
      <w:r w:rsidRPr="00C12AAA">
        <w:rPr>
          <w:rFonts w:ascii="Palatino" w:hAnsi="Palatino"/>
          <w:sz w:val="20"/>
          <w:szCs w:val="20"/>
        </w:rPr>
        <w:t xml:space="preserve"> serait </w:t>
      </w:r>
      <w:r w:rsidRPr="00C12AAA">
        <w:rPr>
          <w:rFonts w:ascii="Palatino" w:hAnsi="Palatino"/>
          <w:i/>
          <w:iCs/>
          <w:sz w:val="20"/>
          <w:szCs w:val="20"/>
        </w:rPr>
        <w:t>L’avenir appartient à ceux qui se lèvent tôt</w:t>
      </w:r>
      <w:r w:rsidRPr="00C12AAA">
        <w:rPr>
          <w:rFonts w:ascii="Palatino" w:hAnsi="Palatino"/>
          <w:sz w:val="20"/>
          <w:szCs w:val="20"/>
        </w:rPr>
        <w:t>. Nous proposons ici une traduction</w:t>
      </w:r>
      <w:r w:rsidR="00D956EB">
        <w:rPr>
          <w:rFonts w:ascii="Palatino" w:hAnsi="Palatino"/>
          <w:sz w:val="20"/>
          <w:szCs w:val="20"/>
        </w:rPr>
        <w:t xml:space="preserve"> </w:t>
      </w:r>
      <w:r w:rsidRPr="00C12AAA">
        <w:rPr>
          <w:rFonts w:ascii="Palatino" w:hAnsi="Palatino"/>
          <w:sz w:val="20"/>
          <w:szCs w:val="20"/>
        </w:rPr>
        <w:t>plus littérale, afin de mettre en évidence la structure syntaxique (</w:t>
      </w:r>
      <w:r w:rsidRPr="00C12AAA">
        <w:rPr>
          <w:rFonts w:ascii="Palatino" w:hAnsi="Palatino"/>
          <w:i/>
          <w:iCs/>
          <w:sz w:val="20"/>
          <w:szCs w:val="20"/>
        </w:rPr>
        <w:t>moule formel</w:t>
      </w:r>
      <w:r w:rsidRPr="00C12AAA">
        <w:rPr>
          <w:rFonts w:ascii="Palatino" w:hAnsi="Palatino"/>
          <w:sz w:val="20"/>
          <w:szCs w:val="20"/>
        </w:rPr>
        <w:t>) qui sera transposée dans le proverbe détourné.</w:t>
      </w:r>
    </w:p>
  </w:footnote>
  <w:footnote w:id="2">
    <w:p w14:paraId="4CA154FD" w14:textId="44ADE695" w:rsidR="00205E89" w:rsidRPr="008F6D8C" w:rsidRDefault="00205E89" w:rsidP="008F6D8C">
      <w:pPr>
        <w:pStyle w:val="Notedebasdepage"/>
        <w:jc w:val="both"/>
        <w:rPr>
          <w:rFonts w:ascii="Garamond" w:hAnsi="Garamond"/>
          <w:i/>
          <w:iCs/>
          <w:lang w:val="es-ES"/>
        </w:rPr>
      </w:pPr>
      <w:r w:rsidRPr="00AD1ECE">
        <w:rPr>
          <w:rStyle w:val="Appelnotedebasdep"/>
        </w:rPr>
        <w:footnoteRef/>
      </w:r>
      <w:r w:rsidRPr="00C12AAA">
        <w:t xml:space="preserve"> </w:t>
      </w:r>
      <w:proofErr w:type="spellStart"/>
      <w:r w:rsidRPr="00C12AAA">
        <w:rPr>
          <w:lang w:val="es-ES"/>
        </w:rPr>
        <w:t>Voici</w:t>
      </w:r>
      <w:proofErr w:type="spellEnd"/>
      <w:r w:rsidRPr="00C12AAA">
        <w:rPr>
          <w:lang w:val="es-ES"/>
        </w:rPr>
        <w:t xml:space="preserve"> </w:t>
      </w:r>
      <w:proofErr w:type="spellStart"/>
      <w:r w:rsidRPr="00C12AAA">
        <w:rPr>
          <w:lang w:val="es-ES"/>
        </w:rPr>
        <w:t>quelques</w:t>
      </w:r>
      <w:proofErr w:type="spellEnd"/>
      <w:r w:rsidRPr="00C12AAA">
        <w:rPr>
          <w:lang w:val="es-ES"/>
        </w:rPr>
        <w:t xml:space="preserve"> </w:t>
      </w:r>
      <w:proofErr w:type="spellStart"/>
      <w:r w:rsidRPr="00C12AAA">
        <w:rPr>
          <w:lang w:val="es-ES"/>
        </w:rPr>
        <w:t>exemples</w:t>
      </w:r>
      <w:proofErr w:type="spellEnd"/>
      <w:r w:rsidRPr="00C12AAA">
        <w:rPr>
          <w:lang w:val="es-ES"/>
        </w:rPr>
        <w:t xml:space="preserve"> de </w:t>
      </w:r>
      <w:proofErr w:type="spellStart"/>
      <w:r w:rsidRPr="00C12AAA">
        <w:rPr>
          <w:lang w:val="es-ES"/>
        </w:rPr>
        <w:t>création</w:t>
      </w:r>
      <w:proofErr w:type="spellEnd"/>
      <w:r w:rsidRPr="00C12AAA">
        <w:rPr>
          <w:lang w:val="es-ES"/>
        </w:rPr>
        <w:t xml:space="preserve"> de </w:t>
      </w:r>
      <w:proofErr w:type="spellStart"/>
      <w:r w:rsidRPr="00C12AAA">
        <w:rPr>
          <w:lang w:val="es-ES"/>
        </w:rPr>
        <w:t>proverbes</w:t>
      </w:r>
      <w:proofErr w:type="spellEnd"/>
      <w:r w:rsidRPr="00C12AAA">
        <w:rPr>
          <w:lang w:val="es-ES"/>
        </w:rPr>
        <w:t xml:space="preserve"> à partir du </w:t>
      </w:r>
      <w:proofErr w:type="spellStart"/>
      <w:r w:rsidRPr="00C12AAA">
        <w:rPr>
          <w:i/>
          <w:iCs/>
          <w:lang w:val="es-ES"/>
        </w:rPr>
        <w:t>moule</w:t>
      </w:r>
      <w:proofErr w:type="spellEnd"/>
      <w:r w:rsidRPr="00C12AAA">
        <w:rPr>
          <w:i/>
          <w:iCs/>
          <w:lang w:val="es-ES"/>
        </w:rPr>
        <w:t xml:space="preserve"> </w:t>
      </w:r>
      <w:proofErr w:type="spellStart"/>
      <w:r w:rsidRPr="00C12AAA">
        <w:rPr>
          <w:i/>
          <w:iCs/>
          <w:lang w:val="es-ES"/>
        </w:rPr>
        <w:t>formel</w:t>
      </w:r>
      <w:proofErr w:type="spellEnd"/>
      <w:r w:rsidRPr="00C12AAA">
        <w:rPr>
          <w:lang w:val="es-ES"/>
        </w:rPr>
        <w:t xml:space="preserve"> &lt;</w:t>
      </w:r>
      <w:r w:rsidRPr="00C12AAA">
        <w:rPr>
          <w:i/>
          <w:iCs/>
          <w:lang w:val="es-ES"/>
        </w:rPr>
        <w:t>El/Al que X, Y</w:t>
      </w:r>
      <w:r w:rsidRPr="00C12AAA">
        <w:rPr>
          <w:lang w:val="es-ES"/>
        </w:rPr>
        <w:t xml:space="preserve">&gt; : </w:t>
      </w:r>
      <w:r w:rsidRPr="00C12AAA">
        <w:rPr>
          <w:i/>
          <w:iCs/>
          <w:lang w:val="es-ES"/>
        </w:rPr>
        <w:t>El que ríe el último, ríe mejor ; El que mucho abarca, poco aprieta; El que la sigue, la consigue</w:t>
      </w:r>
      <w:r w:rsidR="00D956EB">
        <w:rPr>
          <w:i/>
          <w:iCs/>
          <w:lang w:val="es-ES"/>
        </w:rPr>
        <w:t xml:space="preserve">; </w:t>
      </w:r>
      <w:r w:rsidRPr="00C12AAA">
        <w:rPr>
          <w:i/>
          <w:iCs/>
          <w:lang w:val="es-ES"/>
        </w:rPr>
        <w:t>El que siembra vientos, recoge tempestades; El que tiene boca, se equivoca; El que parte y reparte, se queda con la mejor parte; El que avisa, no es traidor; El que no corre, vuela</w:t>
      </w:r>
      <w:r w:rsidR="00344601" w:rsidRPr="00C12AAA">
        <w:rPr>
          <w:i/>
          <w:iCs/>
          <w:lang w:val="es-ES"/>
        </w:rPr>
        <w:t>; A quien buen árbol se arrima, buena sombra le cobija; A quien hierro mata, a hierro muere.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F5157C"/>
    <w:multiLevelType w:val="multilevel"/>
    <w:tmpl w:val="AF862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205"/>
    <w:rsid w:val="0004175A"/>
    <w:rsid w:val="00042D77"/>
    <w:rsid w:val="0008096B"/>
    <w:rsid w:val="000A7A1B"/>
    <w:rsid w:val="000D24A8"/>
    <w:rsid w:val="00102B92"/>
    <w:rsid w:val="0010542B"/>
    <w:rsid w:val="0011006E"/>
    <w:rsid w:val="00121A1E"/>
    <w:rsid w:val="00143492"/>
    <w:rsid w:val="0016481F"/>
    <w:rsid w:val="0017010C"/>
    <w:rsid w:val="00175C08"/>
    <w:rsid w:val="00176013"/>
    <w:rsid w:val="001921D4"/>
    <w:rsid w:val="001A00F1"/>
    <w:rsid w:val="002011F2"/>
    <w:rsid w:val="00205E89"/>
    <w:rsid w:val="00222F73"/>
    <w:rsid w:val="00253F89"/>
    <w:rsid w:val="002B577D"/>
    <w:rsid w:val="002B7CAC"/>
    <w:rsid w:val="002B7D75"/>
    <w:rsid w:val="003126DA"/>
    <w:rsid w:val="00315120"/>
    <w:rsid w:val="0034222F"/>
    <w:rsid w:val="00344601"/>
    <w:rsid w:val="0039580C"/>
    <w:rsid w:val="0040433C"/>
    <w:rsid w:val="004157E8"/>
    <w:rsid w:val="00423154"/>
    <w:rsid w:val="00443BB5"/>
    <w:rsid w:val="00446F62"/>
    <w:rsid w:val="00494FCC"/>
    <w:rsid w:val="004A25A8"/>
    <w:rsid w:val="004B03B3"/>
    <w:rsid w:val="004B382E"/>
    <w:rsid w:val="00541C01"/>
    <w:rsid w:val="00566DED"/>
    <w:rsid w:val="0058255E"/>
    <w:rsid w:val="005D43EA"/>
    <w:rsid w:val="005D70D1"/>
    <w:rsid w:val="005D743E"/>
    <w:rsid w:val="005E175B"/>
    <w:rsid w:val="00606D22"/>
    <w:rsid w:val="00614C4F"/>
    <w:rsid w:val="0061677D"/>
    <w:rsid w:val="00622C3D"/>
    <w:rsid w:val="00624331"/>
    <w:rsid w:val="006349B2"/>
    <w:rsid w:val="006A0E22"/>
    <w:rsid w:val="006C3182"/>
    <w:rsid w:val="007115B4"/>
    <w:rsid w:val="0071358C"/>
    <w:rsid w:val="0074075C"/>
    <w:rsid w:val="00774782"/>
    <w:rsid w:val="007A21FC"/>
    <w:rsid w:val="007B25A6"/>
    <w:rsid w:val="00831F63"/>
    <w:rsid w:val="00832783"/>
    <w:rsid w:val="008501D2"/>
    <w:rsid w:val="00876BB0"/>
    <w:rsid w:val="00877502"/>
    <w:rsid w:val="008832B8"/>
    <w:rsid w:val="00893975"/>
    <w:rsid w:val="008E0994"/>
    <w:rsid w:val="008E513E"/>
    <w:rsid w:val="008F6D8C"/>
    <w:rsid w:val="008F7279"/>
    <w:rsid w:val="009578C3"/>
    <w:rsid w:val="00967DEF"/>
    <w:rsid w:val="009B2489"/>
    <w:rsid w:val="00A20199"/>
    <w:rsid w:val="00A225F4"/>
    <w:rsid w:val="00A25DFF"/>
    <w:rsid w:val="00A4649D"/>
    <w:rsid w:val="00A53EE5"/>
    <w:rsid w:val="00A97DF9"/>
    <w:rsid w:val="00AA4DA0"/>
    <w:rsid w:val="00AD1ECE"/>
    <w:rsid w:val="00AE5529"/>
    <w:rsid w:val="00B40E27"/>
    <w:rsid w:val="00BB0227"/>
    <w:rsid w:val="00BC4443"/>
    <w:rsid w:val="00C108F5"/>
    <w:rsid w:val="00C12AAA"/>
    <w:rsid w:val="00C6195A"/>
    <w:rsid w:val="00C75C49"/>
    <w:rsid w:val="00CB6340"/>
    <w:rsid w:val="00CF3AB2"/>
    <w:rsid w:val="00D01A82"/>
    <w:rsid w:val="00D57205"/>
    <w:rsid w:val="00D956EB"/>
    <w:rsid w:val="00DA07BE"/>
    <w:rsid w:val="00DA0984"/>
    <w:rsid w:val="00DC4CEF"/>
    <w:rsid w:val="00DD6828"/>
    <w:rsid w:val="00E47536"/>
    <w:rsid w:val="00E82A84"/>
    <w:rsid w:val="00F04731"/>
    <w:rsid w:val="00F46FEE"/>
    <w:rsid w:val="00FD6297"/>
    <w:rsid w:val="00FF511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A07C1"/>
  <w15:chartTrackingRefBased/>
  <w15:docId w15:val="{6F0F810A-8C91-EA4D-AFDC-92DC87413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0"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32B8"/>
    <w:rPr>
      <w:rFonts w:ascii="Palatino" w:hAnsi="Palatino" w:cs="Times New Roman"/>
      <w:kern w:val="0"/>
      <w:lang w:eastAsia="es-ES_tradnl"/>
      <w14:ligatures w14:val="none"/>
    </w:rPr>
  </w:style>
  <w:style w:type="paragraph" w:styleId="Titre1">
    <w:name w:val="heading 1"/>
    <w:basedOn w:val="Normal"/>
    <w:next w:val="Normal"/>
    <w:link w:val="Titre1Car"/>
    <w:autoRedefine/>
    <w:uiPriority w:val="9"/>
    <w:qFormat/>
    <w:rsid w:val="00121A1E"/>
    <w:pPr>
      <w:keepNext/>
      <w:keepLines/>
      <w:shd w:val="clear" w:color="auto" w:fill="FFFFFF"/>
      <w:jc w:val="center"/>
      <w:outlineLvl w:val="0"/>
    </w:pPr>
    <w:rPr>
      <w:rFonts w:eastAsiaTheme="majorEastAsia" w:cstheme="majorBidi"/>
      <w:bCs/>
    </w:rPr>
  </w:style>
  <w:style w:type="paragraph" w:styleId="Titre2">
    <w:name w:val="heading 2"/>
    <w:basedOn w:val="Normal"/>
    <w:next w:val="Normal"/>
    <w:link w:val="Titre2Car"/>
    <w:autoRedefine/>
    <w:uiPriority w:val="9"/>
    <w:unhideWhenUsed/>
    <w:qFormat/>
    <w:rsid w:val="008832B8"/>
    <w:pPr>
      <w:keepNext/>
      <w:keepLines/>
      <w:shd w:val="clear" w:color="auto" w:fill="FFFFFF"/>
      <w:spacing w:line="390" w:lineRule="atLeast"/>
      <w:outlineLvl w:val="1"/>
    </w:pPr>
    <w:rPr>
      <w:rFonts w:eastAsiaTheme="majorEastAsia" w:cs="Arial"/>
      <w:iCs/>
      <w:color w:val="0070C0"/>
      <w:sz w:val="28"/>
      <w:szCs w:val="28"/>
    </w:rPr>
  </w:style>
  <w:style w:type="paragraph" w:styleId="Titre3">
    <w:name w:val="heading 3"/>
    <w:basedOn w:val="Normal"/>
    <w:next w:val="Normal"/>
    <w:link w:val="Titre3Car"/>
    <w:autoRedefine/>
    <w:uiPriority w:val="9"/>
    <w:unhideWhenUsed/>
    <w:qFormat/>
    <w:rsid w:val="00BC4443"/>
    <w:pPr>
      <w:keepNext/>
      <w:keepLines/>
      <w:shd w:val="clear" w:color="auto" w:fill="FAFAFF"/>
      <w:ind w:right="150"/>
      <w:outlineLvl w:val="2"/>
    </w:pPr>
    <w:rPr>
      <w:rFonts w:ascii="Playfair Display" w:eastAsia="Playfair Display" w:hAnsi="Playfair Display" w:cstheme="majorBidi"/>
      <w:b/>
      <w:color w:val="000000" w:themeColor="text1"/>
      <w:szCs w:val="20"/>
    </w:rPr>
  </w:style>
  <w:style w:type="paragraph" w:styleId="Titre4">
    <w:name w:val="heading 4"/>
    <w:basedOn w:val="Normal"/>
    <w:next w:val="Normal"/>
    <w:link w:val="Titre4Car"/>
    <w:uiPriority w:val="9"/>
    <w:unhideWhenUsed/>
    <w:qFormat/>
    <w:rsid w:val="00C6195A"/>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autoRedefine/>
    <w:uiPriority w:val="9"/>
    <w:unhideWhenUsed/>
    <w:qFormat/>
    <w:rsid w:val="00BC4443"/>
    <w:pPr>
      <w:keepNext/>
      <w:keepLines/>
      <w:spacing w:before="80" w:after="40"/>
      <w:jc w:val="both"/>
      <w:outlineLvl w:val="4"/>
    </w:pPr>
    <w:rPr>
      <w:rFonts w:ascii="Playfair Display" w:eastAsiaTheme="majorEastAsia" w:hAnsi="Playfair Display" w:cs="Arial"/>
      <w:b/>
      <w:sz w:val="20"/>
      <w:lang w:val="es-ES"/>
    </w:rPr>
  </w:style>
  <w:style w:type="paragraph" w:styleId="Titre6">
    <w:name w:val="heading 6"/>
    <w:basedOn w:val="Normal"/>
    <w:next w:val="Normal"/>
    <w:link w:val="Titre6Car"/>
    <w:autoRedefine/>
    <w:uiPriority w:val="9"/>
    <w:unhideWhenUsed/>
    <w:qFormat/>
    <w:rsid w:val="00A53EE5"/>
    <w:pPr>
      <w:keepNext/>
      <w:keepLines/>
      <w:spacing w:before="40"/>
      <w:outlineLvl w:val="5"/>
    </w:pPr>
    <w:rPr>
      <w:rFonts w:eastAsiaTheme="majorEastAsia" w:cstheme="majorBidi"/>
      <w:iCs/>
      <w:color w:val="595959" w:themeColor="text1" w:themeTint="A6"/>
    </w:rPr>
  </w:style>
  <w:style w:type="paragraph" w:styleId="Titre7">
    <w:name w:val="heading 7"/>
    <w:basedOn w:val="Normal"/>
    <w:next w:val="Normal"/>
    <w:link w:val="Titre7Car"/>
    <w:uiPriority w:val="9"/>
    <w:semiHidden/>
    <w:unhideWhenUsed/>
    <w:qFormat/>
    <w:rsid w:val="00D57205"/>
    <w:pPr>
      <w:keepNext/>
      <w:keepLines/>
      <w:spacing w:before="4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D57205"/>
    <w:pPr>
      <w:keepNext/>
      <w:keepLines/>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D57205"/>
    <w:pPr>
      <w:keepNext/>
      <w:keepLines/>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BC4443"/>
    <w:rPr>
      <w:rFonts w:ascii="Playfair Display" w:eastAsia="Playfair Display" w:hAnsi="Playfair Display" w:cstheme="majorBidi"/>
      <w:b/>
      <w:color w:val="000000" w:themeColor="text1"/>
      <w:kern w:val="0"/>
      <w:szCs w:val="20"/>
      <w:shd w:val="clear" w:color="auto" w:fill="FAFAFF"/>
      <w:lang w:eastAsia="es-ES_tradnl"/>
      <w14:ligatures w14:val="none"/>
    </w:rPr>
  </w:style>
  <w:style w:type="character" w:customStyle="1" w:styleId="Titre2Car">
    <w:name w:val="Titre 2 Car"/>
    <w:basedOn w:val="Policepardfaut"/>
    <w:link w:val="Titre2"/>
    <w:uiPriority w:val="9"/>
    <w:rsid w:val="008832B8"/>
    <w:rPr>
      <w:rFonts w:ascii="Palatino" w:eastAsiaTheme="majorEastAsia" w:hAnsi="Palatino" w:cs="Arial"/>
      <w:iCs/>
      <w:color w:val="0070C0"/>
      <w:kern w:val="0"/>
      <w:sz w:val="28"/>
      <w:szCs w:val="28"/>
      <w:shd w:val="clear" w:color="auto" w:fill="FFFFFF"/>
      <w:lang w:eastAsia="es-ES_tradnl"/>
      <w14:ligatures w14:val="none"/>
    </w:rPr>
  </w:style>
  <w:style w:type="character" w:customStyle="1" w:styleId="Titre1Car">
    <w:name w:val="Titre 1 Car"/>
    <w:basedOn w:val="Policepardfaut"/>
    <w:link w:val="Titre1"/>
    <w:uiPriority w:val="9"/>
    <w:rsid w:val="00121A1E"/>
    <w:rPr>
      <w:rFonts w:ascii="Palatino" w:eastAsiaTheme="majorEastAsia" w:hAnsi="Palatino" w:cstheme="majorBidi"/>
      <w:b/>
      <w:bCs/>
      <w:color w:val="0070C0"/>
      <w:kern w:val="0"/>
      <w:sz w:val="28"/>
      <w:shd w:val="clear" w:color="auto" w:fill="FFFFFF"/>
      <w:lang w:eastAsia="es-ES_tradnl"/>
      <w14:ligatures w14:val="none"/>
    </w:rPr>
  </w:style>
  <w:style w:type="paragraph" w:styleId="Citation">
    <w:name w:val="Quote"/>
    <w:aliases w:val="EJEMPLOS"/>
    <w:basedOn w:val="Normal"/>
    <w:next w:val="Normal"/>
    <w:link w:val="CitationCar"/>
    <w:autoRedefine/>
    <w:uiPriority w:val="29"/>
    <w:rsid w:val="0074075C"/>
    <w:pPr>
      <w:spacing w:before="160"/>
      <w:jc w:val="both"/>
    </w:pPr>
    <w:rPr>
      <w:iCs/>
      <w:color w:val="404040" w:themeColor="text1" w:themeTint="BF"/>
      <w:sz w:val="22"/>
    </w:rPr>
  </w:style>
  <w:style w:type="character" w:customStyle="1" w:styleId="CitationCar">
    <w:name w:val="Citation Car"/>
    <w:aliases w:val="EJEMPLOS Car"/>
    <w:basedOn w:val="Policepardfaut"/>
    <w:link w:val="Citation"/>
    <w:uiPriority w:val="29"/>
    <w:rsid w:val="0074075C"/>
    <w:rPr>
      <w:rFonts w:ascii="Times New Roman" w:hAnsi="Times New Roman"/>
      <w:iCs/>
      <w:color w:val="404040" w:themeColor="text1" w:themeTint="BF"/>
      <w:sz w:val="22"/>
    </w:rPr>
  </w:style>
  <w:style w:type="character" w:customStyle="1" w:styleId="Titre4Car">
    <w:name w:val="Titre 4 Car"/>
    <w:basedOn w:val="Policepardfaut"/>
    <w:link w:val="Titre4"/>
    <w:uiPriority w:val="9"/>
    <w:rsid w:val="00C6195A"/>
    <w:rPr>
      <w:rFonts w:ascii="Palatino" w:eastAsiaTheme="majorEastAsia" w:hAnsi="Palatino" w:cstheme="majorBidi"/>
      <w:i/>
      <w:iCs/>
      <w:color w:val="0F4761" w:themeColor="accent1" w:themeShade="BF"/>
      <w:kern w:val="0"/>
      <w:lang w:eastAsia="es-ES_tradnl"/>
      <w14:ligatures w14:val="none"/>
    </w:rPr>
  </w:style>
  <w:style w:type="paragraph" w:styleId="TM3">
    <w:name w:val="toc 3"/>
    <w:basedOn w:val="Normal"/>
    <w:next w:val="Normal"/>
    <w:autoRedefine/>
    <w:uiPriority w:val="39"/>
    <w:unhideWhenUsed/>
    <w:qFormat/>
    <w:rsid w:val="00624331"/>
    <w:pPr>
      <w:spacing w:beforeAutospacing="1" w:afterAutospacing="1"/>
      <w:ind w:left="480"/>
    </w:pPr>
    <w:rPr>
      <w:rFonts w:ascii="Garamond" w:hAnsi="Garamond"/>
      <w:i/>
      <w:iCs/>
      <w:noProof/>
      <w:sz w:val="20"/>
      <w:szCs w:val="20"/>
      <w:lang w:bidi="en-US"/>
    </w:rPr>
  </w:style>
  <w:style w:type="paragraph" w:styleId="TM2">
    <w:name w:val="toc 2"/>
    <w:basedOn w:val="Normal"/>
    <w:next w:val="Normal"/>
    <w:autoRedefine/>
    <w:uiPriority w:val="39"/>
    <w:unhideWhenUsed/>
    <w:qFormat/>
    <w:rsid w:val="00624331"/>
    <w:pPr>
      <w:spacing w:beforeAutospacing="1" w:afterAutospacing="1"/>
      <w:ind w:left="240"/>
    </w:pPr>
    <w:rPr>
      <w:rFonts w:ascii="Garamond" w:hAnsi="Garamond"/>
      <w:smallCaps/>
      <w:noProof/>
      <w:sz w:val="20"/>
      <w:szCs w:val="20"/>
      <w:lang w:bidi="en-US"/>
    </w:rPr>
  </w:style>
  <w:style w:type="paragraph" w:styleId="TM4">
    <w:name w:val="toc 4"/>
    <w:basedOn w:val="Normal"/>
    <w:next w:val="Normal"/>
    <w:autoRedefine/>
    <w:unhideWhenUsed/>
    <w:qFormat/>
    <w:rsid w:val="00624331"/>
    <w:pPr>
      <w:spacing w:beforeAutospacing="1" w:afterAutospacing="1"/>
      <w:ind w:left="720"/>
    </w:pPr>
    <w:rPr>
      <w:rFonts w:ascii="Garamond" w:hAnsi="Garamond"/>
      <w:noProof/>
      <w:sz w:val="18"/>
      <w:szCs w:val="18"/>
      <w:lang w:bidi="en-US"/>
    </w:rPr>
  </w:style>
  <w:style w:type="paragraph" w:styleId="TM5">
    <w:name w:val="toc 5"/>
    <w:basedOn w:val="Normal"/>
    <w:next w:val="Normal"/>
    <w:autoRedefine/>
    <w:unhideWhenUsed/>
    <w:qFormat/>
    <w:rsid w:val="00624331"/>
    <w:pPr>
      <w:spacing w:beforeAutospacing="1" w:afterAutospacing="1"/>
      <w:ind w:left="960"/>
    </w:pPr>
    <w:rPr>
      <w:rFonts w:ascii="Garamond" w:hAnsi="Garamond"/>
      <w:noProof/>
      <w:sz w:val="18"/>
      <w:szCs w:val="18"/>
      <w:lang w:bidi="en-US"/>
    </w:rPr>
  </w:style>
  <w:style w:type="paragraph" w:styleId="TM6">
    <w:name w:val="toc 6"/>
    <w:basedOn w:val="Normal"/>
    <w:next w:val="Normal"/>
    <w:autoRedefine/>
    <w:unhideWhenUsed/>
    <w:qFormat/>
    <w:rsid w:val="00624331"/>
    <w:pPr>
      <w:spacing w:beforeAutospacing="1" w:afterAutospacing="1"/>
      <w:ind w:left="1200"/>
    </w:pPr>
    <w:rPr>
      <w:rFonts w:ascii="Garamond" w:hAnsi="Garamond"/>
      <w:noProof/>
      <w:sz w:val="18"/>
      <w:szCs w:val="18"/>
      <w:lang w:bidi="en-US"/>
    </w:rPr>
  </w:style>
  <w:style w:type="paragraph" w:styleId="TM7">
    <w:name w:val="toc 7"/>
    <w:basedOn w:val="Normal"/>
    <w:next w:val="Normal"/>
    <w:autoRedefine/>
    <w:unhideWhenUsed/>
    <w:qFormat/>
    <w:rsid w:val="00624331"/>
    <w:pPr>
      <w:spacing w:beforeAutospacing="1" w:afterAutospacing="1"/>
      <w:ind w:left="1440"/>
    </w:pPr>
    <w:rPr>
      <w:rFonts w:ascii="Garamond" w:hAnsi="Garamond"/>
      <w:noProof/>
      <w:sz w:val="18"/>
      <w:szCs w:val="18"/>
      <w:lang w:bidi="en-US"/>
    </w:rPr>
  </w:style>
  <w:style w:type="paragraph" w:styleId="TM8">
    <w:name w:val="toc 8"/>
    <w:basedOn w:val="Normal"/>
    <w:next w:val="Normal"/>
    <w:autoRedefine/>
    <w:unhideWhenUsed/>
    <w:qFormat/>
    <w:rsid w:val="00624331"/>
    <w:pPr>
      <w:spacing w:beforeAutospacing="1" w:afterAutospacing="1"/>
      <w:ind w:left="1680"/>
    </w:pPr>
    <w:rPr>
      <w:rFonts w:ascii="Garamond" w:hAnsi="Garamond"/>
      <w:noProof/>
      <w:sz w:val="18"/>
      <w:szCs w:val="18"/>
      <w:lang w:bidi="en-US"/>
    </w:rPr>
  </w:style>
  <w:style w:type="paragraph" w:styleId="TM9">
    <w:name w:val="toc 9"/>
    <w:basedOn w:val="Normal"/>
    <w:next w:val="Normal"/>
    <w:autoRedefine/>
    <w:unhideWhenUsed/>
    <w:qFormat/>
    <w:rsid w:val="00624331"/>
    <w:pPr>
      <w:spacing w:beforeAutospacing="1" w:afterAutospacing="1"/>
      <w:ind w:left="1920"/>
    </w:pPr>
    <w:rPr>
      <w:rFonts w:ascii="Garamond" w:hAnsi="Garamond"/>
      <w:noProof/>
      <w:sz w:val="18"/>
      <w:szCs w:val="18"/>
      <w:lang w:bidi="en-US"/>
    </w:rPr>
  </w:style>
  <w:style w:type="character" w:customStyle="1" w:styleId="Titre5Car">
    <w:name w:val="Titre 5 Car"/>
    <w:basedOn w:val="Policepardfaut"/>
    <w:link w:val="Titre5"/>
    <w:uiPriority w:val="9"/>
    <w:rsid w:val="00BC4443"/>
    <w:rPr>
      <w:rFonts w:ascii="Playfair Display" w:eastAsiaTheme="majorEastAsia" w:hAnsi="Playfair Display" w:cs="Arial"/>
      <w:b/>
      <w:kern w:val="0"/>
      <w:sz w:val="20"/>
      <w:lang w:val="es-ES" w:eastAsia="es-ES_tradnl"/>
      <w14:ligatures w14:val="none"/>
    </w:rPr>
  </w:style>
  <w:style w:type="character" w:customStyle="1" w:styleId="Titre6Car">
    <w:name w:val="Titre 6 Car"/>
    <w:basedOn w:val="Policepardfaut"/>
    <w:link w:val="Titre6"/>
    <w:uiPriority w:val="9"/>
    <w:rsid w:val="00A53EE5"/>
    <w:rPr>
      <w:rFonts w:ascii="Palatino" w:eastAsiaTheme="majorEastAsia" w:hAnsi="Palatino" w:cstheme="majorBidi"/>
      <w:b/>
      <w:iCs/>
      <w:color w:val="595959" w:themeColor="text1" w:themeTint="A6"/>
      <w:kern w:val="0"/>
      <w:lang w:eastAsia="es-ES_tradnl"/>
      <w14:ligatures w14:val="none"/>
    </w:rPr>
  </w:style>
  <w:style w:type="character" w:customStyle="1" w:styleId="Titre7Car">
    <w:name w:val="Titre 7 Car"/>
    <w:basedOn w:val="Policepardfaut"/>
    <w:link w:val="Titre7"/>
    <w:uiPriority w:val="9"/>
    <w:semiHidden/>
    <w:rsid w:val="00D57205"/>
    <w:rPr>
      <w:rFonts w:eastAsiaTheme="majorEastAsia" w:cstheme="majorBidi"/>
      <w:color w:val="595959" w:themeColor="text1" w:themeTint="A6"/>
      <w:kern w:val="0"/>
      <w:lang w:eastAsia="es-ES_tradnl"/>
      <w14:ligatures w14:val="none"/>
    </w:rPr>
  </w:style>
  <w:style w:type="character" w:customStyle="1" w:styleId="Titre8Car">
    <w:name w:val="Titre 8 Car"/>
    <w:basedOn w:val="Policepardfaut"/>
    <w:link w:val="Titre8"/>
    <w:uiPriority w:val="9"/>
    <w:semiHidden/>
    <w:rsid w:val="00D57205"/>
    <w:rPr>
      <w:rFonts w:eastAsiaTheme="majorEastAsia" w:cstheme="majorBidi"/>
      <w:i/>
      <w:iCs/>
      <w:color w:val="272727" w:themeColor="text1" w:themeTint="D8"/>
      <w:kern w:val="0"/>
      <w:lang w:eastAsia="es-ES_tradnl"/>
      <w14:ligatures w14:val="none"/>
    </w:rPr>
  </w:style>
  <w:style w:type="character" w:customStyle="1" w:styleId="Titre9Car">
    <w:name w:val="Titre 9 Car"/>
    <w:basedOn w:val="Policepardfaut"/>
    <w:link w:val="Titre9"/>
    <w:uiPriority w:val="9"/>
    <w:semiHidden/>
    <w:rsid w:val="00D57205"/>
    <w:rPr>
      <w:rFonts w:eastAsiaTheme="majorEastAsia" w:cstheme="majorBidi"/>
      <w:color w:val="272727" w:themeColor="text1" w:themeTint="D8"/>
      <w:kern w:val="0"/>
      <w:lang w:eastAsia="es-ES_tradnl"/>
      <w14:ligatures w14:val="none"/>
    </w:rPr>
  </w:style>
  <w:style w:type="paragraph" w:styleId="Titre">
    <w:name w:val="Title"/>
    <w:basedOn w:val="Normal"/>
    <w:next w:val="Normal"/>
    <w:link w:val="TitreCar"/>
    <w:uiPriority w:val="10"/>
    <w:qFormat/>
    <w:rsid w:val="00D57205"/>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57205"/>
    <w:rPr>
      <w:rFonts w:asciiTheme="majorHAnsi" w:eastAsiaTheme="majorEastAsia" w:hAnsiTheme="majorHAnsi" w:cstheme="majorBidi"/>
      <w:spacing w:val="-10"/>
      <w:kern w:val="28"/>
      <w:sz w:val="56"/>
      <w:szCs w:val="56"/>
      <w:lang w:eastAsia="es-ES_tradnl"/>
      <w14:ligatures w14:val="none"/>
    </w:rPr>
  </w:style>
  <w:style w:type="paragraph" w:styleId="Sous-titre">
    <w:name w:val="Subtitle"/>
    <w:basedOn w:val="Normal"/>
    <w:next w:val="Normal"/>
    <w:link w:val="Sous-titreCar"/>
    <w:uiPriority w:val="11"/>
    <w:qFormat/>
    <w:rsid w:val="00D5720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57205"/>
    <w:rPr>
      <w:rFonts w:eastAsiaTheme="majorEastAsia" w:cstheme="majorBidi"/>
      <w:color w:val="595959" w:themeColor="text1" w:themeTint="A6"/>
      <w:spacing w:val="15"/>
      <w:kern w:val="0"/>
      <w:sz w:val="28"/>
      <w:szCs w:val="28"/>
      <w:lang w:eastAsia="es-ES_tradnl"/>
      <w14:ligatures w14:val="none"/>
    </w:rPr>
  </w:style>
  <w:style w:type="paragraph" w:styleId="Paragraphedeliste">
    <w:name w:val="List Paragraph"/>
    <w:basedOn w:val="Normal"/>
    <w:uiPriority w:val="34"/>
    <w:qFormat/>
    <w:rsid w:val="00D57205"/>
    <w:pPr>
      <w:ind w:left="720"/>
      <w:contextualSpacing/>
    </w:pPr>
  </w:style>
  <w:style w:type="character" w:styleId="Emphaseintense">
    <w:name w:val="Intense Emphasis"/>
    <w:basedOn w:val="Policepardfaut"/>
    <w:uiPriority w:val="21"/>
    <w:qFormat/>
    <w:rsid w:val="00D57205"/>
    <w:rPr>
      <w:i/>
      <w:iCs/>
      <w:color w:val="0F4761" w:themeColor="accent1" w:themeShade="BF"/>
    </w:rPr>
  </w:style>
  <w:style w:type="paragraph" w:styleId="Citationintense">
    <w:name w:val="Intense Quote"/>
    <w:basedOn w:val="Normal"/>
    <w:next w:val="Normal"/>
    <w:link w:val="CitationintenseCar"/>
    <w:uiPriority w:val="30"/>
    <w:qFormat/>
    <w:rsid w:val="00D572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D57205"/>
    <w:rPr>
      <w:rFonts w:ascii="Palatino" w:hAnsi="Palatino" w:cs="Times New Roman"/>
      <w:i/>
      <w:iCs/>
      <w:color w:val="0F4761" w:themeColor="accent1" w:themeShade="BF"/>
      <w:kern w:val="0"/>
      <w:lang w:eastAsia="es-ES_tradnl"/>
      <w14:ligatures w14:val="none"/>
    </w:rPr>
  </w:style>
  <w:style w:type="character" w:styleId="Rfrenceintense">
    <w:name w:val="Intense Reference"/>
    <w:basedOn w:val="Policepardfaut"/>
    <w:uiPriority w:val="32"/>
    <w:qFormat/>
    <w:rsid w:val="00D57205"/>
    <w:rPr>
      <w:b/>
      <w:bCs/>
      <w:smallCaps/>
      <w:color w:val="0F4761" w:themeColor="accent1" w:themeShade="BF"/>
      <w:spacing w:val="5"/>
    </w:rPr>
  </w:style>
  <w:style w:type="paragraph" w:styleId="NormalWeb">
    <w:name w:val="Normal (Web)"/>
    <w:basedOn w:val="Normal"/>
    <w:uiPriority w:val="99"/>
    <w:unhideWhenUsed/>
    <w:qFormat/>
    <w:rsid w:val="002B7D75"/>
    <w:pPr>
      <w:spacing w:before="100" w:beforeAutospacing="1" w:after="100" w:afterAutospacing="1"/>
    </w:pPr>
    <w:rPr>
      <w:rFonts w:ascii="Times New Roman" w:hAnsi="Times New Roman"/>
    </w:rPr>
  </w:style>
  <w:style w:type="paragraph" w:customStyle="1" w:styleId="pdq2pgselectionanchorcontainer">
    <w:name w:val="pdq2pg_selectionanchorcontainer"/>
    <w:basedOn w:val="Normal"/>
    <w:rsid w:val="00A20199"/>
    <w:pPr>
      <w:spacing w:before="100" w:beforeAutospacing="1" w:after="100" w:afterAutospacing="1"/>
    </w:pPr>
    <w:rPr>
      <w:rFonts w:ascii="Times New Roman" w:hAnsi="Times New Roman"/>
    </w:rPr>
  </w:style>
  <w:style w:type="character" w:styleId="lev">
    <w:name w:val="Strong"/>
    <w:basedOn w:val="Policepardfaut"/>
    <w:uiPriority w:val="22"/>
    <w:qFormat/>
    <w:rsid w:val="00A20199"/>
    <w:rPr>
      <w:b/>
      <w:bCs/>
    </w:rPr>
  </w:style>
  <w:style w:type="character" w:customStyle="1" w:styleId="whitespace-normal">
    <w:name w:val="whitespace-normal"/>
    <w:basedOn w:val="Policepardfaut"/>
    <w:rsid w:val="00A20199"/>
  </w:style>
  <w:style w:type="character" w:styleId="Lienhypertexte">
    <w:name w:val="Hyperlink"/>
    <w:basedOn w:val="Policepardfaut"/>
    <w:uiPriority w:val="99"/>
    <w:unhideWhenUsed/>
    <w:rsid w:val="00FD6297"/>
    <w:rPr>
      <w:color w:val="467886" w:themeColor="hyperlink"/>
      <w:u w:val="single"/>
    </w:rPr>
  </w:style>
  <w:style w:type="character" w:customStyle="1" w:styleId="UnresolvedMention">
    <w:name w:val="Unresolved Mention"/>
    <w:basedOn w:val="Policepardfaut"/>
    <w:uiPriority w:val="99"/>
    <w:semiHidden/>
    <w:unhideWhenUsed/>
    <w:rsid w:val="00FD6297"/>
    <w:rPr>
      <w:color w:val="605E5C"/>
      <w:shd w:val="clear" w:color="auto" w:fill="E1DFDD"/>
    </w:rPr>
  </w:style>
  <w:style w:type="table" w:styleId="Grilledutableau">
    <w:name w:val="Table Grid"/>
    <w:basedOn w:val="TableauNormal"/>
    <w:uiPriority w:val="39"/>
    <w:rsid w:val="00C108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205E89"/>
    <w:rPr>
      <w:sz w:val="20"/>
      <w:szCs w:val="20"/>
    </w:rPr>
  </w:style>
  <w:style w:type="character" w:customStyle="1" w:styleId="NotedebasdepageCar">
    <w:name w:val="Note de bas de page Car"/>
    <w:basedOn w:val="Policepardfaut"/>
    <w:link w:val="Notedebasdepage"/>
    <w:uiPriority w:val="99"/>
    <w:semiHidden/>
    <w:rsid w:val="00205E89"/>
    <w:rPr>
      <w:rFonts w:ascii="Palatino" w:hAnsi="Palatino" w:cs="Times New Roman"/>
      <w:kern w:val="0"/>
      <w:sz w:val="20"/>
      <w:szCs w:val="20"/>
      <w:lang w:eastAsia="es-ES_tradnl"/>
      <w14:ligatures w14:val="none"/>
    </w:rPr>
  </w:style>
  <w:style w:type="character" w:styleId="Appelnotedebasdep">
    <w:name w:val="footnote reference"/>
    <w:basedOn w:val="Policepardfaut"/>
    <w:uiPriority w:val="99"/>
    <w:semiHidden/>
    <w:unhideWhenUsed/>
    <w:rsid w:val="00205E89"/>
    <w:rPr>
      <w:vertAlign w:val="superscript"/>
    </w:rPr>
  </w:style>
  <w:style w:type="character" w:styleId="Lienhypertextesuivivisit">
    <w:name w:val="FollowedHyperlink"/>
    <w:basedOn w:val="Policepardfaut"/>
    <w:uiPriority w:val="99"/>
    <w:semiHidden/>
    <w:unhideWhenUsed/>
    <w:rsid w:val="00446F62"/>
    <w:rPr>
      <w:color w:val="96607D" w:themeColor="followedHyperlink"/>
      <w:u w:val="single"/>
    </w:rPr>
  </w:style>
  <w:style w:type="character" w:styleId="Appeldenotedefin">
    <w:name w:val="endnote reference"/>
    <w:basedOn w:val="Policepardfaut"/>
    <w:uiPriority w:val="99"/>
    <w:semiHidden/>
    <w:unhideWhenUsed/>
    <w:rsid w:val="00AD1E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oi.org/10.14198/ELUA.29257" TargetMode="External"/><Relationship Id="rId4" Type="http://schemas.openxmlformats.org/officeDocument/2006/relationships/settings" Target="settings.xml"/><Relationship Id="rId9" Type="http://schemas.openxmlformats.org/officeDocument/2006/relationships/hyperlink" Target="http://journals.openedition.org/bulletinhispanique/1038"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652B8C-589D-4466-A221-6C588BBBE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1090</Words>
  <Characters>5995</Characters>
  <Application>Microsoft Office Word</Application>
  <DocSecurity>0</DocSecurity>
  <Lines>49</Lines>
  <Paragraphs>14</Paragraphs>
  <ScaleCrop>false</ScaleCrop>
  <HeadingPairs>
    <vt:vector size="4" baseType="variant">
      <vt:variant>
        <vt:lpstr>Titre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7071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Carlota Piedehierro Sáez</dc:creator>
  <cp:keywords/>
  <dc:description/>
  <cp:lastModifiedBy>Agnes Celle</cp:lastModifiedBy>
  <cp:revision>2</cp:revision>
  <dcterms:created xsi:type="dcterms:W3CDTF">2026-07-15T07:39:00Z</dcterms:created>
  <dcterms:modified xsi:type="dcterms:W3CDTF">2026-07-15T07:39:00Z</dcterms:modified>
</cp:coreProperties>
</file>